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404E5">
      <w:pPr>
        <w:rPr>
          <w:rFonts w:hint="eastAsia" w:ascii="黑体" w:hAnsi="黑体" w:eastAsia="黑体"/>
          <w:sz w:val="32"/>
          <w:szCs w:val="32"/>
        </w:rPr>
      </w:pPr>
    </w:p>
    <w:p w14:paraId="706C92BD">
      <w:pPr>
        <w:jc w:val="center"/>
        <w:rPr>
          <w:rFonts w:hint="eastAsia" w:ascii="方正小标宋_GBK" w:hAnsi="宋体" w:eastAsia="方正小标宋_GBK"/>
          <w:sz w:val="44"/>
          <w:szCs w:val="44"/>
        </w:rPr>
      </w:pPr>
    </w:p>
    <w:p w14:paraId="10465CC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昌吉州生态环境局木垒县分局</w:t>
      </w:r>
    </w:p>
    <w:p w14:paraId="76627C3C">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B44F53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5F8137A5">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7B4092E6">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7507936">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5470FF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23C60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1152E70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4761E1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26DE9D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DB0DC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4515B22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C60278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FDA64E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385EB9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4F1097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4E0427D1">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107848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718BE70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F2C073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71D77A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0846E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38E2CE3">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05CC4A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1F0F96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49BFFC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6FB0C46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6B6B32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A821F8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D00848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57E97DB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387EE2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0C83BD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1CAD642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2E70D79">
      <w:r>
        <w:rPr>
          <w:rFonts w:hint="eastAsia" w:ascii="仿宋_GB2312" w:hAnsi="仿宋_GB2312" w:eastAsia="仿宋_GB2312" w:cs="仿宋_GB2312"/>
          <w:sz w:val="32"/>
          <w:szCs w:val="32"/>
        </w:rPr>
        <w:fldChar w:fldCharType="end"/>
      </w:r>
    </w:p>
    <w:p w14:paraId="34FCA4E0">
      <w:pPr>
        <w:rPr>
          <w:rFonts w:ascii="仿宋_GB2312" w:eastAsia="仿宋_GB2312"/>
          <w:sz w:val="32"/>
          <w:szCs w:val="32"/>
        </w:rPr>
      </w:pPr>
      <w:r>
        <w:rPr>
          <w:rFonts w:hint="eastAsia" w:ascii="仿宋_GB2312" w:eastAsia="仿宋_GB2312"/>
          <w:sz w:val="32"/>
          <w:szCs w:val="32"/>
        </w:rPr>
        <w:br w:type="page"/>
      </w:r>
    </w:p>
    <w:p w14:paraId="5B4DF34D">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87BA737">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ACAC572">
      <w:pPr>
        <w:ind w:firstLine="640" w:firstLineChars="200"/>
        <w:rPr>
          <w:rFonts w:ascii="仿宋_GB2312" w:eastAsia="仿宋_GB2312"/>
          <w:sz w:val="32"/>
          <w:szCs w:val="32"/>
        </w:rPr>
      </w:pPr>
      <w:r>
        <w:rPr>
          <w:rFonts w:hint="eastAsia" w:ascii="仿宋_GB2312" w:eastAsia="仿宋_GB2312"/>
          <w:sz w:val="32"/>
          <w:szCs w:val="32"/>
        </w:rPr>
        <w:t>贯彻执行国家、区、州、县环境保护政策、法律法规、规划及有关决策部署，牵头承担木垒县环境保护委员会职责，拟订并组织实施自治县环境保护规划，起草环境保护单行条例；组织编制环境功能区划、生态功能区划；组织拟订重要饮用水水源地、禁燃区、重点区域、流域及专项污染防治规划并监督实施，大力推进生态文明建设。组织协调重大环境污染事故和生态破坏事件的调查处理，指导协调重大突发环境事件的应急、预警工作；协调解决环境污染纠纷，统筹协调自治县流域、区域污染防治工作。</w:t>
      </w:r>
    </w:p>
    <w:p w14:paraId="70055F6F">
      <w:pPr>
        <w:ind w:firstLine="640" w:firstLineChars="200"/>
        <w:rPr>
          <w:rFonts w:ascii="仿宋_GB2312" w:eastAsia="仿宋_GB2312"/>
          <w:sz w:val="32"/>
          <w:szCs w:val="32"/>
        </w:rPr>
      </w:pPr>
      <w:r>
        <w:rPr>
          <w:rFonts w:hint="eastAsia" w:ascii="仿宋_GB2312" w:eastAsia="仿宋_GB2312"/>
          <w:sz w:val="32"/>
          <w:szCs w:val="32"/>
        </w:rPr>
        <w:t>执行国家主要污染物排放总量控制和排污许可证制度，按照自治区减排目标制定自治县总量控制计划并组织实施，督查、督办、核查各县市污染物减排任务完成情况；实施环境保护目标责任制，维护环境安全。组织实施自治县规划与建设项目环境影响评价、环保 “三同时”等环境管理制度；对自治县涉及环境保护的条例草案提出有关环境保护方面的意见；按照国家和自治区规定审批建设项目环境影响评价文件。完成自治县党委、自治县人民政府交办的其他任务。</w:t>
      </w:r>
    </w:p>
    <w:p w14:paraId="192B07EF">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22DC10CD">
      <w:pPr>
        <w:ind w:firstLine="640" w:firstLineChars="200"/>
        <w:rPr>
          <w:rFonts w:ascii="仿宋_GB2312" w:eastAsia="仿宋_GB2312"/>
          <w:sz w:val="32"/>
          <w:szCs w:val="32"/>
        </w:rPr>
      </w:pPr>
      <w:r>
        <w:rPr>
          <w:rFonts w:hint="eastAsia" w:ascii="仿宋_GB2312" w:eastAsia="仿宋_GB2312"/>
          <w:sz w:val="32"/>
          <w:szCs w:val="32"/>
        </w:rPr>
        <w:t>昌吉州生态环境局木垒县分局2023年度，实有人数16人，其中：在职人员9人，离休人员0人，退休人员7人。</w:t>
      </w:r>
    </w:p>
    <w:p w14:paraId="6AE6DE2D">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单位无下属预算单位，下设3个处室，分别是：党政办、生态与应急办、综合业务办。</w:t>
      </w:r>
    </w:p>
    <w:p w14:paraId="34DBAF25">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6ADAF43B">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6CD87ACF">
      <w:pPr>
        <w:ind w:firstLine="640" w:firstLineChars="200"/>
        <w:jc w:val="left"/>
        <w:rPr>
          <w:rFonts w:ascii="仿宋_GB2312" w:eastAsia="仿宋_GB2312"/>
          <w:sz w:val="32"/>
          <w:szCs w:val="32"/>
        </w:rPr>
      </w:pPr>
      <w:r>
        <w:rPr>
          <w:rFonts w:hint="eastAsia" w:ascii="仿宋_GB2312" w:eastAsia="仿宋_GB2312"/>
          <w:sz w:val="32"/>
          <w:szCs w:val="32"/>
        </w:rPr>
        <w:t>2023年度收入总计1,297.76万元，其中：本年收入合计1,297.76万元，使用非财政拨款结余0.00万元，年初结转和结余0.00万元。</w:t>
      </w:r>
    </w:p>
    <w:p w14:paraId="47EC4F4F">
      <w:pPr>
        <w:ind w:firstLine="640" w:firstLineChars="200"/>
        <w:jc w:val="left"/>
        <w:rPr>
          <w:rFonts w:ascii="仿宋_GB2312" w:eastAsia="仿宋_GB2312"/>
          <w:sz w:val="32"/>
          <w:szCs w:val="32"/>
        </w:rPr>
      </w:pPr>
      <w:r>
        <w:rPr>
          <w:rFonts w:hint="eastAsia" w:ascii="仿宋_GB2312" w:eastAsia="仿宋_GB2312"/>
          <w:sz w:val="32"/>
          <w:szCs w:val="32"/>
        </w:rPr>
        <w:t>2023年度支出总计1,297.76万元，其中：本年支出合计1,297.76万元，结余分配0.00万元，年末结转和结余0.00万元。</w:t>
      </w:r>
    </w:p>
    <w:p w14:paraId="4FAB6A2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增加605.26万元</w:t>
      </w:r>
      <w:r>
        <w:rPr>
          <w:rFonts w:hint="eastAsia" w:ascii="仿宋_GB2312" w:eastAsia="仿宋_GB2312"/>
          <w:sz w:val="32"/>
          <w:szCs w:val="32"/>
        </w:rPr>
        <w:t>，增长87.40%，主要原因是：</w:t>
      </w:r>
      <w:r>
        <w:rPr>
          <w:rFonts w:hint="eastAsia" w:ascii="仿宋_GB2312" w:eastAsia="仿宋_GB2312"/>
          <w:sz w:val="32"/>
          <w:szCs w:val="32"/>
          <w:lang w:val="en-US" w:eastAsia="zh-CN"/>
        </w:rPr>
        <w:t>单位本年</w:t>
      </w:r>
      <w:r>
        <w:rPr>
          <w:rFonts w:hint="eastAsia" w:ascii="仿宋_GB2312" w:eastAsia="仿宋_GB2312"/>
          <w:sz w:val="32"/>
          <w:szCs w:val="32"/>
        </w:rPr>
        <w:t>中央大气污染防治</w:t>
      </w:r>
      <w:r>
        <w:rPr>
          <w:rFonts w:hint="eastAsia" w:ascii="仿宋_GB2312" w:eastAsia="仿宋_GB2312"/>
          <w:sz w:val="32"/>
          <w:szCs w:val="32"/>
          <w:lang w:val="en-US" w:eastAsia="zh-CN"/>
        </w:rPr>
        <w:t>项目</w:t>
      </w:r>
      <w:r>
        <w:rPr>
          <w:rFonts w:hint="eastAsia" w:ascii="仿宋_GB2312" w:eastAsia="仿宋_GB2312"/>
          <w:sz w:val="32"/>
          <w:szCs w:val="32"/>
        </w:rPr>
        <w:t>资金增加</w:t>
      </w:r>
      <w:r>
        <w:rPr>
          <w:rFonts w:hint="eastAsia" w:ascii="仿宋_GB2312" w:eastAsia="仿宋_GB2312"/>
          <w:sz w:val="32"/>
          <w:szCs w:val="32"/>
          <w:lang w:eastAsia="zh-CN"/>
        </w:rPr>
        <w:t>；</w:t>
      </w:r>
      <w:r>
        <w:rPr>
          <w:rFonts w:hint="eastAsia" w:ascii="仿宋_GB2312" w:eastAsia="仿宋_GB2312"/>
          <w:sz w:val="32"/>
          <w:szCs w:val="32"/>
        </w:rPr>
        <w:t>单位本年退休人员</w:t>
      </w:r>
      <w:r>
        <w:rPr>
          <w:rFonts w:hint="eastAsia" w:ascii="仿宋_GB2312" w:eastAsia="仿宋_GB2312"/>
          <w:sz w:val="32"/>
          <w:szCs w:val="32"/>
          <w:lang w:val="en-US" w:eastAsia="zh-CN"/>
        </w:rPr>
        <w:t>增加，退休人员</w:t>
      </w:r>
      <w:r>
        <w:rPr>
          <w:rFonts w:hint="eastAsia" w:ascii="仿宋_GB2312" w:eastAsia="仿宋_GB2312"/>
          <w:sz w:val="32"/>
          <w:szCs w:val="32"/>
        </w:rPr>
        <w:t>交通补助、取暖费增加。</w:t>
      </w:r>
    </w:p>
    <w:p w14:paraId="7E136B6C">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A0CFC9A">
      <w:pPr>
        <w:ind w:firstLine="640" w:firstLineChars="200"/>
        <w:jc w:val="left"/>
        <w:rPr>
          <w:rFonts w:ascii="仿宋_GB2312" w:eastAsia="仿宋_GB2312"/>
          <w:sz w:val="32"/>
          <w:szCs w:val="32"/>
        </w:rPr>
      </w:pPr>
      <w:r>
        <w:rPr>
          <w:rFonts w:hint="eastAsia" w:ascii="仿宋_GB2312" w:eastAsia="仿宋_GB2312"/>
          <w:sz w:val="32"/>
          <w:szCs w:val="32"/>
        </w:rPr>
        <w:t>本年收入1,297.76万元，其中：财政拨款收入</w:t>
      </w:r>
      <w:r>
        <w:rPr>
          <w:rFonts w:hint="eastAsia" w:ascii="仿宋_GB2312" w:eastAsia="仿宋_GB2312"/>
          <w:sz w:val="32"/>
          <w:szCs w:val="32"/>
          <w:lang w:val="zh-CN"/>
        </w:rPr>
        <w:t>1,297.76</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6F438F36">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DDA00B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本年支出1,297.76万元，其中：基本支出163.63万元，占12.61%；项目支出1,134.13万元，占87.39%；上缴上级支出0.00万元，占0.00%；经营支出0.00万元，占0.00%；对附属单位补助支出0.00万元，占0.00%。</w:t>
      </w:r>
    </w:p>
    <w:p w14:paraId="7F59DD6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5903E85">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财政拨款收入总计1,297.76万元，其中：年初财政拨款结转和结余0.00万元，本年财政拨款收入1,297.76万元。财政拨款支出总计1,297.76万元，其中：年末财政拨款结转和结余0.00万元，本年财政拨款支出1,297.76万元。</w:t>
      </w:r>
    </w:p>
    <w:p w14:paraId="79BB367A">
      <w:pPr>
        <w:spacing w:line="600" w:lineRule="exact"/>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财政拨款收入支出总体与上年相比,增加605.26万元，增长87.40%,主要原因是：</w:t>
      </w:r>
      <w:r>
        <w:rPr>
          <w:rFonts w:hint="eastAsia" w:ascii="仿宋_GB2312" w:eastAsia="仿宋_GB2312"/>
          <w:sz w:val="32"/>
          <w:szCs w:val="32"/>
          <w:lang w:val="en-US" w:eastAsia="zh-CN"/>
        </w:rPr>
        <w:t>单位本年</w:t>
      </w:r>
      <w:r>
        <w:rPr>
          <w:rFonts w:hint="eastAsia" w:ascii="仿宋_GB2312" w:eastAsia="仿宋_GB2312"/>
          <w:sz w:val="32"/>
          <w:szCs w:val="32"/>
        </w:rPr>
        <w:t>中央大气污染防治</w:t>
      </w:r>
      <w:r>
        <w:rPr>
          <w:rFonts w:hint="eastAsia" w:ascii="仿宋_GB2312" w:eastAsia="仿宋_GB2312"/>
          <w:sz w:val="32"/>
          <w:szCs w:val="32"/>
          <w:lang w:val="en-US" w:eastAsia="zh-CN"/>
        </w:rPr>
        <w:t>项目</w:t>
      </w:r>
      <w:r>
        <w:rPr>
          <w:rFonts w:hint="eastAsia" w:ascii="仿宋_GB2312" w:eastAsia="仿宋_GB2312"/>
          <w:sz w:val="32"/>
          <w:szCs w:val="32"/>
        </w:rPr>
        <w:t>资金增加</w:t>
      </w:r>
      <w:r>
        <w:rPr>
          <w:rFonts w:hint="eastAsia" w:ascii="仿宋_GB2312" w:eastAsia="仿宋_GB2312"/>
          <w:sz w:val="32"/>
          <w:szCs w:val="32"/>
          <w:lang w:eastAsia="zh-CN"/>
        </w:rPr>
        <w:t>；</w:t>
      </w:r>
      <w:r>
        <w:rPr>
          <w:rFonts w:hint="eastAsia" w:ascii="仿宋_GB2312" w:eastAsia="仿宋_GB2312"/>
          <w:sz w:val="32"/>
          <w:szCs w:val="32"/>
        </w:rPr>
        <w:t>单位本年退休人员</w:t>
      </w:r>
      <w:r>
        <w:rPr>
          <w:rFonts w:hint="eastAsia" w:ascii="仿宋_GB2312" w:eastAsia="仿宋_GB2312"/>
          <w:sz w:val="32"/>
          <w:szCs w:val="32"/>
          <w:lang w:val="en-US" w:eastAsia="zh-CN"/>
        </w:rPr>
        <w:t>增加，退休人员</w:t>
      </w:r>
      <w:r>
        <w:rPr>
          <w:rFonts w:hint="eastAsia" w:ascii="仿宋_GB2312" w:eastAsia="仿宋_GB2312"/>
          <w:sz w:val="32"/>
          <w:szCs w:val="32"/>
        </w:rPr>
        <w:t>交通补助、取暖费增加。与年初预算相比，年初预算数161.09万元，决算数1,297.76万元，预决算差异率705.61%，主要原因是：年中追加中央大气污染防治</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rPr>
        <w:t>单位本年退休人员</w:t>
      </w:r>
      <w:r>
        <w:rPr>
          <w:rFonts w:hint="eastAsia" w:ascii="仿宋_GB2312" w:eastAsia="仿宋_GB2312"/>
          <w:sz w:val="32"/>
          <w:szCs w:val="32"/>
          <w:lang w:val="en-US" w:eastAsia="zh-CN"/>
        </w:rPr>
        <w:t>增加，年中追加退休人员</w:t>
      </w:r>
      <w:r>
        <w:rPr>
          <w:rFonts w:hint="eastAsia" w:ascii="仿宋_GB2312" w:eastAsia="仿宋_GB2312"/>
          <w:sz w:val="32"/>
          <w:szCs w:val="32"/>
        </w:rPr>
        <w:t>交通补助、取暖费</w:t>
      </w:r>
      <w:r>
        <w:rPr>
          <w:rFonts w:hint="eastAsia" w:ascii="仿宋_GB2312" w:eastAsia="仿宋_GB2312"/>
          <w:sz w:val="32"/>
          <w:szCs w:val="32"/>
          <w:lang w:eastAsia="zh-CN"/>
        </w:rPr>
        <w:t>、</w:t>
      </w:r>
      <w:r>
        <w:rPr>
          <w:rFonts w:hint="eastAsia" w:ascii="仿宋_GB2312" w:eastAsia="仿宋_GB2312"/>
          <w:sz w:val="32"/>
          <w:szCs w:val="32"/>
          <w:lang w:val="en-US" w:eastAsia="zh-CN"/>
        </w:rPr>
        <w:t>职业年金缴费</w:t>
      </w:r>
      <w:r>
        <w:rPr>
          <w:rFonts w:hint="eastAsia" w:ascii="仿宋_GB2312" w:eastAsia="仿宋_GB2312"/>
          <w:sz w:val="32"/>
          <w:szCs w:val="32"/>
        </w:rPr>
        <w:t>。</w:t>
      </w:r>
    </w:p>
    <w:p w14:paraId="1E25CF1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2B85BCF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4AFC20C">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2023年度一般公共预算财政拨款支出1,297.76万元，占本年支出合计的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增加605.26万元</w:t>
      </w:r>
      <w:r>
        <w:rPr>
          <w:rFonts w:hint="eastAsia" w:ascii="仿宋_GB2312" w:eastAsia="仿宋_GB2312"/>
          <w:sz w:val="32"/>
          <w:szCs w:val="32"/>
        </w:rPr>
        <w:t>，增长87.40%,主要原因是：</w:t>
      </w:r>
      <w:r>
        <w:rPr>
          <w:rFonts w:hint="eastAsia" w:ascii="仿宋_GB2312" w:eastAsia="仿宋_GB2312"/>
          <w:sz w:val="32"/>
          <w:szCs w:val="32"/>
          <w:lang w:val="en-US" w:eastAsia="zh-CN"/>
        </w:rPr>
        <w:t>单位本年</w:t>
      </w:r>
      <w:r>
        <w:rPr>
          <w:rFonts w:hint="eastAsia" w:ascii="仿宋_GB2312" w:eastAsia="仿宋_GB2312"/>
          <w:sz w:val="32"/>
          <w:szCs w:val="32"/>
        </w:rPr>
        <w:t>中央大气污染防治</w:t>
      </w:r>
      <w:r>
        <w:rPr>
          <w:rFonts w:hint="eastAsia" w:ascii="仿宋_GB2312" w:eastAsia="仿宋_GB2312"/>
          <w:sz w:val="32"/>
          <w:szCs w:val="32"/>
          <w:lang w:val="en-US" w:eastAsia="zh-CN"/>
        </w:rPr>
        <w:t>项目</w:t>
      </w:r>
      <w:r>
        <w:rPr>
          <w:rFonts w:hint="eastAsia" w:ascii="仿宋_GB2312" w:eastAsia="仿宋_GB2312"/>
          <w:sz w:val="32"/>
          <w:szCs w:val="32"/>
        </w:rPr>
        <w:t>资金增加</w:t>
      </w:r>
      <w:r>
        <w:rPr>
          <w:rFonts w:hint="eastAsia" w:ascii="仿宋_GB2312" w:eastAsia="仿宋_GB2312"/>
          <w:sz w:val="32"/>
          <w:szCs w:val="32"/>
          <w:lang w:eastAsia="zh-CN"/>
        </w:rPr>
        <w:t>；</w:t>
      </w:r>
      <w:r>
        <w:rPr>
          <w:rFonts w:hint="eastAsia" w:ascii="仿宋_GB2312" w:eastAsia="仿宋_GB2312"/>
          <w:sz w:val="32"/>
          <w:szCs w:val="32"/>
        </w:rPr>
        <w:t>单位本年退休人员</w:t>
      </w:r>
      <w:r>
        <w:rPr>
          <w:rFonts w:hint="eastAsia" w:ascii="仿宋_GB2312" w:eastAsia="仿宋_GB2312"/>
          <w:sz w:val="32"/>
          <w:szCs w:val="32"/>
          <w:lang w:val="en-US" w:eastAsia="zh-CN"/>
        </w:rPr>
        <w:t>增加，退休人员</w:t>
      </w:r>
      <w:r>
        <w:rPr>
          <w:rFonts w:hint="eastAsia" w:ascii="仿宋_GB2312" w:eastAsia="仿宋_GB2312"/>
          <w:sz w:val="32"/>
          <w:szCs w:val="32"/>
        </w:rPr>
        <w:t>交通补助、取暖费增加。与年初预算相比，年初预算数</w:t>
      </w:r>
      <w:r>
        <w:rPr>
          <w:rFonts w:hint="eastAsia" w:ascii="仿宋_GB2312" w:eastAsia="仿宋_GB2312"/>
          <w:sz w:val="32"/>
          <w:szCs w:val="32"/>
          <w:lang w:val="zh-CN"/>
        </w:rPr>
        <w:t>161.09</w:t>
      </w:r>
      <w:r>
        <w:rPr>
          <w:rFonts w:hint="eastAsia" w:ascii="仿宋_GB2312" w:eastAsia="仿宋_GB2312"/>
          <w:sz w:val="32"/>
          <w:szCs w:val="32"/>
        </w:rPr>
        <w:t>万元，决算数</w:t>
      </w:r>
      <w:r>
        <w:rPr>
          <w:rFonts w:hint="eastAsia" w:ascii="仿宋_GB2312" w:eastAsia="仿宋_GB2312"/>
          <w:sz w:val="32"/>
          <w:szCs w:val="32"/>
          <w:lang w:val="zh-CN"/>
        </w:rPr>
        <w:t>1,297.76</w:t>
      </w:r>
      <w:r>
        <w:rPr>
          <w:rFonts w:hint="eastAsia" w:ascii="仿宋_GB2312" w:eastAsia="仿宋_GB2312"/>
          <w:sz w:val="32"/>
          <w:szCs w:val="32"/>
        </w:rPr>
        <w:t>万元，预决算差异率</w:t>
      </w:r>
      <w:r>
        <w:rPr>
          <w:rFonts w:hint="eastAsia" w:ascii="仿宋_GB2312" w:eastAsia="仿宋_GB2312"/>
          <w:sz w:val="32"/>
          <w:szCs w:val="32"/>
          <w:lang w:val="zh-CN"/>
        </w:rPr>
        <w:t>705.61%</w:t>
      </w:r>
      <w:r>
        <w:rPr>
          <w:rFonts w:hint="eastAsia" w:ascii="仿宋_GB2312" w:eastAsia="仿宋_GB2312"/>
          <w:sz w:val="32"/>
          <w:szCs w:val="32"/>
        </w:rPr>
        <w:t>，主要原因是：年中追加中央大气污染防治</w:t>
      </w:r>
      <w:r>
        <w:rPr>
          <w:rFonts w:hint="eastAsia" w:ascii="仿宋_GB2312" w:eastAsia="仿宋_GB2312"/>
          <w:sz w:val="32"/>
          <w:szCs w:val="32"/>
          <w:lang w:val="en-US" w:eastAsia="zh-CN"/>
        </w:rPr>
        <w:t>项目</w:t>
      </w:r>
      <w:r>
        <w:rPr>
          <w:rFonts w:hint="eastAsia" w:ascii="仿宋_GB2312" w:eastAsia="仿宋_GB2312"/>
          <w:sz w:val="32"/>
          <w:szCs w:val="32"/>
        </w:rPr>
        <w:t>资金</w:t>
      </w:r>
      <w:r>
        <w:rPr>
          <w:rFonts w:hint="eastAsia" w:ascii="仿宋_GB2312" w:eastAsia="仿宋_GB2312"/>
          <w:sz w:val="32"/>
          <w:szCs w:val="32"/>
          <w:lang w:eastAsia="zh-CN"/>
        </w:rPr>
        <w:t>；</w:t>
      </w:r>
      <w:r>
        <w:rPr>
          <w:rFonts w:hint="eastAsia" w:ascii="仿宋_GB2312" w:eastAsia="仿宋_GB2312"/>
          <w:sz w:val="32"/>
          <w:szCs w:val="32"/>
        </w:rPr>
        <w:t>单位本年退休人员</w:t>
      </w:r>
      <w:r>
        <w:rPr>
          <w:rFonts w:hint="eastAsia" w:ascii="仿宋_GB2312" w:eastAsia="仿宋_GB2312"/>
          <w:sz w:val="32"/>
          <w:szCs w:val="32"/>
          <w:lang w:val="en-US" w:eastAsia="zh-CN"/>
        </w:rPr>
        <w:t>增加，年中追加退休人员</w:t>
      </w:r>
      <w:r>
        <w:rPr>
          <w:rFonts w:hint="eastAsia" w:ascii="仿宋_GB2312" w:eastAsia="仿宋_GB2312"/>
          <w:sz w:val="32"/>
          <w:szCs w:val="32"/>
        </w:rPr>
        <w:t>交通补助、取暖费</w:t>
      </w:r>
      <w:r>
        <w:rPr>
          <w:rFonts w:hint="eastAsia" w:ascii="仿宋_GB2312" w:eastAsia="仿宋_GB2312"/>
          <w:sz w:val="32"/>
          <w:szCs w:val="32"/>
          <w:lang w:eastAsia="zh-CN"/>
        </w:rPr>
        <w:t>、</w:t>
      </w:r>
      <w:r>
        <w:rPr>
          <w:rFonts w:hint="eastAsia" w:ascii="仿宋_GB2312" w:eastAsia="仿宋_GB2312"/>
          <w:sz w:val="32"/>
          <w:szCs w:val="32"/>
          <w:lang w:val="en-US" w:eastAsia="zh-CN"/>
        </w:rPr>
        <w:t>职业年金缴费</w:t>
      </w:r>
      <w:r>
        <w:rPr>
          <w:rFonts w:hint="eastAsia" w:ascii="仿宋_GB2312" w:eastAsia="仿宋_GB2312"/>
          <w:sz w:val="32"/>
          <w:szCs w:val="32"/>
        </w:rPr>
        <w:t>。</w:t>
      </w:r>
    </w:p>
    <w:p w14:paraId="25B43089">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CB6BA0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28.59</w:t>
      </w:r>
      <w:r>
        <w:rPr>
          <w:rFonts w:ascii="仿宋_GB2312" w:eastAsia="仿宋_GB2312"/>
          <w:kern w:val="2"/>
          <w:sz w:val="32"/>
          <w:szCs w:val="32"/>
          <w:lang w:val="zh-CN"/>
        </w:rPr>
        <w:t>万元，占</w:t>
      </w:r>
      <w:r>
        <w:rPr>
          <w:rFonts w:hint="eastAsia" w:ascii="仿宋_GB2312" w:eastAsia="仿宋_GB2312"/>
          <w:kern w:val="2"/>
          <w:sz w:val="32"/>
          <w:szCs w:val="32"/>
          <w:lang w:val="zh-CN"/>
        </w:rPr>
        <w:t>2.20</w:t>
      </w:r>
      <w:r>
        <w:rPr>
          <w:rFonts w:ascii="仿宋_GB2312" w:eastAsia="仿宋_GB2312"/>
          <w:kern w:val="2"/>
          <w:sz w:val="32"/>
          <w:szCs w:val="32"/>
          <w:lang w:val="zh-CN"/>
        </w:rPr>
        <w:t>%；</w:t>
      </w:r>
    </w:p>
    <w:p w14:paraId="590AA81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.节能环保支出（类）</w:t>
      </w:r>
      <w:r>
        <w:rPr>
          <w:rFonts w:hint="eastAsia" w:ascii="仿宋_GB2312" w:eastAsia="仿宋_GB2312"/>
          <w:kern w:val="2"/>
          <w:sz w:val="32"/>
          <w:szCs w:val="32"/>
          <w:lang w:val="zh-CN"/>
        </w:rPr>
        <w:t>1,251.43</w:t>
      </w:r>
      <w:r>
        <w:rPr>
          <w:rFonts w:ascii="仿宋_GB2312" w:eastAsia="仿宋_GB2312"/>
          <w:kern w:val="2"/>
          <w:sz w:val="32"/>
          <w:szCs w:val="32"/>
          <w:lang w:val="zh-CN"/>
        </w:rPr>
        <w:t>万元，占</w:t>
      </w:r>
      <w:r>
        <w:rPr>
          <w:rFonts w:hint="eastAsia" w:ascii="仿宋_GB2312" w:eastAsia="仿宋_GB2312"/>
          <w:kern w:val="2"/>
          <w:sz w:val="32"/>
          <w:szCs w:val="32"/>
          <w:lang w:val="zh-CN"/>
        </w:rPr>
        <w:t>96.43</w:t>
      </w:r>
      <w:r>
        <w:rPr>
          <w:rFonts w:ascii="仿宋_GB2312" w:eastAsia="仿宋_GB2312"/>
          <w:kern w:val="2"/>
          <w:sz w:val="32"/>
          <w:szCs w:val="32"/>
          <w:lang w:val="zh-CN"/>
        </w:rPr>
        <w:t>%；</w:t>
      </w:r>
    </w:p>
    <w:p w14:paraId="08DF00C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10.65</w:t>
      </w:r>
      <w:r>
        <w:rPr>
          <w:rFonts w:ascii="仿宋_GB2312" w:eastAsia="仿宋_GB2312"/>
          <w:kern w:val="2"/>
          <w:sz w:val="32"/>
          <w:szCs w:val="32"/>
          <w:lang w:val="zh-CN"/>
        </w:rPr>
        <w:t>万元，占</w:t>
      </w:r>
      <w:r>
        <w:rPr>
          <w:rFonts w:hint="eastAsia" w:ascii="仿宋_GB2312" w:eastAsia="仿宋_GB2312"/>
          <w:kern w:val="2"/>
          <w:sz w:val="32"/>
          <w:szCs w:val="32"/>
          <w:lang w:val="zh-CN"/>
        </w:rPr>
        <w:t>0.82</w:t>
      </w:r>
      <w:r>
        <w:rPr>
          <w:rFonts w:ascii="仿宋_GB2312" w:eastAsia="仿宋_GB2312"/>
          <w:kern w:val="2"/>
          <w:sz w:val="32"/>
          <w:szCs w:val="32"/>
          <w:lang w:val="zh-CN"/>
        </w:rPr>
        <w:t>%；</w:t>
      </w:r>
    </w:p>
    <w:p w14:paraId="6E2E83C6">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7.09</w:t>
      </w:r>
      <w:r>
        <w:rPr>
          <w:rFonts w:ascii="仿宋_GB2312" w:eastAsia="仿宋_GB2312"/>
          <w:kern w:val="2"/>
          <w:sz w:val="32"/>
          <w:szCs w:val="32"/>
          <w:lang w:val="zh-CN"/>
        </w:rPr>
        <w:t>万元，占</w:t>
      </w:r>
      <w:r>
        <w:rPr>
          <w:rFonts w:hint="eastAsia" w:ascii="仿宋_GB2312" w:eastAsia="仿宋_GB2312"/>
          <w:kern w:val="2"/>
          <w:sz w:val="32"/>
          <w:szCs w:val="32"/>
          <w:lang w:val="zh-CN"/>
        </w:rPr>
        <w:t>0.55</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98231D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2BE3EE5">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1.住房保障支出（类）住房改革支出（款）住房公积金（项）:支出决算数为10.65万元，比上年决算减少7.9</w:t>
      </w:r>
      <w:r>
        <w:rPr>
          <w:rFonts w:hint="eastAsia" w:ascii="仿宋_GB2312" w:eastAsia="仿宋_GB2312"/>
          <w:sz w:val="32"/>
          <w:szCs w:val="32"/>
          <w:lang w:val="en-US" w:eastAsia="zh-CN"/>
        </w:rPr>
        <w:t>4</w:t>
      </w:r>
      <w:r>
        <w:rPr>
          <w:rFonts w:hint="eastAsia" w:ascii="仿宋_GB2312" w:eastAsia="仿宋_GB2312"/>
          <w:sz w:val="32"/>
          <w:szCs w:val="32"/>
        </w:rPr>
        <w:t>万元，下降42.7</w:t>
      </w:r>
      <w:r>
        <w:rPr>
          <w:rFonts w:hint="eastAsia" w:ascii="仿宋_GB2312" w:eastAsia="仿宋_GB2312"/>
          <w:sz w:val="32"/>
          <w:szCs w:val="32"/>
          <w:lang w:val="en-US" w:eastAsia="zh-CN"/>
        </w:rPr>
        <w:t>1</w:t>
      </w:r>
      <w:r>
        <w:rPr>
          <w:rFonts w:hint="eastAsia" w:ascii="仿宋_GB2312" w:eastAsia="仿宋_GB2312"/>
          <w:sz w:val="32"/>
          <w:szCs w:val="32"/>
        </w:rPr>
        <w:t>%，主要原因是：本年单位人员减少，</w:t>
      </w:r>
      <w:r>
        <w:rPr>
          <w:rFonts w:hint="eastAsia" w:ascii="仿宋_GB2312" w:eastAsia="仿宋_GB2312"/>
          <w:sz w:val="32"/>
          <w:szCs w:val="32"/>
          <w:lang w:val="en-US" w:eastAsia="zh-CN"/>
        </w:rPr>
        <w:t>人员</w:t>
      </w:r>
      <w:r>
        <w:rPr>
          <w:rFonts w:hint="eastAsia" w:ascii="仿宋_GB2312" w:eastAsia="仿宋_GB2312"/>
          <w:sz w:val="32"/>
          <w:szCs w:val="32"/>
        </w:rPr>
        <w:t>公积金</w:t>
      </w:r>
      <w:r>
        <w:rPr>
          <w:rFonts w:hint="eastAsia" w:ascii="仿宋_GB2312" w:eastAsia="仿宋_GB2312"/>
          <w:sz w:val="32"/>
          <w:szCs w:val="32"/>
          <w:lang w:val="en-US" w:eastAsia="zh-CN"/>
        </w:rPr>
        <w:t>缴费</w:t>
      </w:r>
      <w:r>
        <w:rPr>
          <w:rFonts w:hint="eastAsia" w:ascii="仿宋_GB2312" w:eastAsia="仿宋_GB2312"/>
          <w:sz w:val="32"/>
          <w:szCs w:val="32"/>
        </w:rPr>
        <w:t>减少。</w:t>
      </w:r>
    </w:p>
    <w:p w14:paraId="377FCFD4">
      <w:pPr>
        <w:ind w:firstLine="640" w:firstLineChars="200"/>
        <w:jc w:val="left"/>
        <w:rPr>
          <w:rFonts w:ascii="仿宋_GB2312" w:eastAsia="仿宋_GB2312"/>
          <w:sz w:val="32"/>
          <w:szCs w:val="32"/>
        </w:rPr>
      </w:pPr>
      <w:r>
        <w:rPr>
          <w:rFonts w:hint="eastAsia" w:ascii="仿宋_GB2312" w:eastAsia="仿宋_GB2312"/>
          <w:sz w:val="32"/>
          <w:szCs w:val="32"/>
        </w:rPr>
        <w:t>2.节能环保支出（类）污染防治（款）大气（项）:支出决算数为982.80万元，比上年决算增加982.80万元，增长100%，主要原因是：</w:t>
      </w:r>
      <w:r>
        <w:rPr>
          <w:rFonts w:hint="eastAsia" w:ascii="仿宋_GB2312" w:eastAsia="仿宋_GB2312"/>
          <w:sz w:val="32"/>
          <w:szCs w:val="32"/>
          <w:lang w:val="en-US" w:eastAsia="zh-CN"/>
        </w:rPr>
        <w:t>单位本年</w:t>
      </w:r>
      <w:r>
        <w:rPr>
          <w:rFonts w:hint="eastAsia" w:ascii="仿宋_GB2312" w:eastAsia="仿宋_GB2312"/>
          <w:sz w:val="32"/>
          <w:szCs w:val="32"/>
        </w:rPr>
        <w:t>中央大气污染防治</w:t>
      </w:r>
      <w:r>
        <w:rPr>
          <w:rFonts w:hint="eastAsia" w:ascii="仿宋_GB2312" w:eastAsia="仿宋_GB2312"/>
          <w:sz w:val="32"/>
          <w:szCs w:val="32"/>
          <w:lang w:val="en-US" w:eastAsia="zh-CN"/>
        </w:rPr>
        <w:t>项目</w:t>
      </w:r>
      <w:r>
        <w:rPr>
          <w:rFonts w:hint="eastAsia" w:ascii="仿宋_GB2312" w:eastAsia="仿宋_GB2312"/>
          <w:sz w:val="32"/>
          <w:szCs w:val="32"/>
        </w:rPr>
        <w:t>资金增加。</w:t>
      </w:r>
    </w:p>
    <w:p w14:paraId="3D54BC6D">
      <w:pPr>
        <w:ind w:firstLine="640" w:firstLineChars="200"/>
        <w:jc w:val="left"/>
        <w:rPr>
          <w:rFonts w:ascii="仿宋_GB2312" w:eastAsia="仿宋_GB2312"/>
          <w:sz w:val="32"/>
          <w:szCs w:val="32"/>
        </w:rPr>
      </w:pPr>
      <w:r>
        <w:rPr>
          <w:rFonts w:hint="eastAsia" w:ascii="仿宋_GB2312" w:eastAsia="仿宋_GB2312"/>
          <w:sz w:val="32"/>
          <w:szCs w:val="32"/>
        </w:rPr>
        <w:t>3.节能环保支出（类）环境保护管理事务（款）行政运行（项）:支出决算数为124.39万元，比上年决算减少95.5</w:t>
      </w:r>
      <w:r>
        <w:rPr>
          <w:rFonts w:hint="eastAsia" w:ascii="仿宋_GB2312" w:eastAsia="仿宋_GB2312"/>
          <w:sz w:val="32"/>
          <w:szCs w:val="32"/>
          <w:lang w:val="en-US" w:eastAsia="zh-CN"/>
        </w:rPr>
        <w:t>1</w:t>
      </w:r>
      <w:r>
        <w:rPr>
          <w:rFonts w:hint="eastAsia" w:ascii="仿宋_GB2312" w:eastAsia="仿宋_GB2312"/>
          <w:sz w:val="32"/>
          <w:szCs w:val="32"/>
        </w:rPr>
        <w:t>万元，下降43.4</w:t>
      </w:r>
      <w:r>
        <w:rPr>
          <w:rFonts w:hint="eastAsia" w:ascii="仿宋_GB2312" w:eastAsia="仿宋_GB2312"/>
          <w:sz w:val="32"/>
          <w:szCs w:val="32"/>
          <w:lang w:val="en-US" w:eastAsia="zh-CN"/>
        </w:rPr>
        <w:t>3</w:t>
      </w:r>
      <w:r>
        <w:rPr>
          <w:rFonts w:hint="eastAsia" w:ascii="仿宋_GB2312" w:eastAsia="仿宋_GB2312"/>
          <w:sz w:val="32"/>
          <w:szCs w:val="32"/>
        </w:rPr>
        <w:t>%，主要原因是：单位人员减少，相应减少人员薪资、津贴补贴、奖金等。</w:t>
      </w:r>
    </w:p>
    <w:p w14:paraId="76CD7537">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4.社会保障和就业支出（类）行政事业单位养老支出（款）行政单位离退休（项）:支出决算数为2.42万元，比上年决算增加1.10万元，增长8</w:t>
      </w:r>
      <w:r>
        <w:rPr>
          <w:rFonts w:hint="eastAsia" w:ascii="仿宋_GB2312" w:eastAsia="仿宋_GB2312"/>
          <w:sz w:val="32"/>
          <w:szCs w:val="32"/>
          <w:lang w:val="en-US" w:eastAsia="zh-CN"/>
        </w:rPr>
        <w:t>3</w:t>
      </w:r>
      <w:r>
        <w:rPr>
          <w:rFonts w:hint="eastAsia" w:ascii="仿宋_GB2312" w:eastAsia="仿宋_GB2312"/>
          <w:sz w:val="32"/>
          <w:szCs w:val="32"/>
        </w:rPr>
        <w:t>.</w:t>
      </w:r>
      <w:r>
        <w:rPr>
          <w:rFonts w:hint="eastAsia" w:ascii="仿宋_GB2312" w:eastAsia="仿宋_GB2312"/>
          <w:sz w:val="32"/>
          <w:szCs w:val="32"/>
          <w:lang w:val="en-US" w:eastAsia="zh-CN"/>
        </w:rPr>
        <w:t>33</w:t>
      </w:r>
      <w:r>
        <w:rPr>
          <w:rFonts w:hint="eastAsia" w:ascii="仿宋_GB2312" w:eastAsia="仿宋_GB2312"/>
          <w:sz w:val="32"/>
          <w:szCs w:val="32"/>
        </w:rPr>
        <w:t>%，主要原因是：单位本年退休人员交通补助、取暖费增加。</w:t>
      </w:r>
    </w:p>
    <w:p w14:paraId="4316B418">
      <w:pPr>
        <w:ind w:firstLine="640" w:firstLineChars="200"/>
        <w:jc w:val="left"/>
        <w:rPr>
          <w:rFonts w:ascii="仿宋_GB2312" w:eastAsia="仿宋_GB2312"/>
          <w:sz w:val="32"/>
          <w:szCs w:val="32"/>
        </w:rPr>
      </w:pPr>
      <w:r>
        <w:rPr>
          <w:rFonts w:hint="eastAsia" w:ascii="仿宋_GB2312" w:eastAsia="仿宋_GB2312"/>
          <w:sz w:val="32"/>
          <w:szCs w:val="32"/>
        </w:rPr>
        <w:t>5.节能环保支出（类）环境保护管理事务（款）其他环境保护管理事务支出（项）:支出决算数为144.24万元，比上年决算减少248.11万元，下降63.24%，主要原因是：单位本年环保及节能减排专项</w:t>
      </w:r>
      <w:r>
        <w:rPr>
          <w:rFonts w:hint="eastAsia" w:ascii="仿宋_GB2312" w:eastAsia="仿宋_GB2312"/>
          <w:sz w:val="32"/>
          <w:szCs w:val="32"/>
          <w:lang w:val="en-US" w:eastAsia="zh-CN"/>
        </w:rPr>
        <w:t>项目</w:t>
      </w:r>
      <w:r>
        <w:rPr>
          <w:rFonts w:hint="eastAsia" w:ascii="仿宋_GB2312" w:eastAsia="仿宋_GB2312"/>
          <w:sz w:val="32"/>
          <w:szCs w:val="32"/>
        </w:rPr>
        <w:t>经费减少。</w:t>
      </w:r>
    </w:p>
    <w:p w14:paraId="5907D2F6">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6.社会保障和就业支出（类）行政事业单位养老支出（款）机关事业单位职业年金缴费支出（项）:支出决算数为12.22万元，比上年决算增加0.88万元，增长7.7</w:t>
      </w:r>
      <w:r>
        <w:rPr>
          <w:rFonts w:hint="eastAsia" w:ascii="仿宋_GB2312" w:eastAsia="仿宋_GB2312"/>
          <w:sz w:val="32"/>
          <w:szCs w:val="32"/>
          <w:lang w:val="en-US" w:eastAsia="zh-CN"/>
        </w:rPr>
        <w:t>6</w:t>
      </w:r>
      <w:r>
        <w:rPr>
          <w:rFonts w:hint="eastAsia" w:ascii="仿宋_GB2312" w:eastAsia="仿宋_GB2312"/>
          <w:sz w:val="32"/>
          <w:szCs w:val="32"/>
        </w:rPr>
        <w:t>%，主要原因是：单位</w:t>
      </w:r>
      <w:r>
        <w:rPr>
          <w:rFonts w:hint="eastAsia" w:ascii="仿宋_GB2312" w:eastAsia="仿宋_GB2312"/>
          <w:sz w:val="32"/>
          <w:szCs w:val="32"/>
          <w:lang w:val="en-US" w:eastAsia="zh-CN"/>
        </w:rPr>
        <w:t>本年退休人员增加，</w:t>
      </w:r>
      <w:r>
        <w:rPr>
          <w:rFonts w:hint="eastAsia" w:ascii="仿宋_GB2312" w:eastAsia="仿宋_GB2312"/>
          <w:sz w:val="32"/>
          <w:szCs w:val="32"/>
        </w:rPr>
        <w:t>职业年金缴费</w:t>
      </w:r>
      <w:r>
        <w:rPr>
          <w:rFonts w:hint="eastAsia" w:ascii="仿宋_GB2312" w:eastAsia="仿宋_GB2312"/>
          <w:sz w:val="32"/>
          <w:szCs w:val="32"/>
          <w:lang w:val="en-US" w:eastAsia="zh-CN"/>
        </w:rPr>
        <w:t>增加</w:t>
      </w:r>
      <w:r>
        <w:rPr>
          <w:rFonts w:hint="eastAsia" w:ascii="仿宋_GB2312" w:eastAsia="仿宋_GB2312"/>
          <w:sz w:val="32"/>
          <w:szCs w:val="32"/>
        </w:rPr>
        <w:t>。</w:t>
      </w:r>
    </w:p>
    <w:p w14:paraId="1C3503D5">
      <w:pPr>
        <w:ind w:firstLine="640" w:firstLineChars="200"/>
        <w:jc w:val="left"/>
        <w:rPr>
          <w:rFonts w:ascii="仿宋_GB2312" w:eastAsia="仿宋_GB2312"/>
          <w:sz w:val="32"/>
          <w:szCs w:val="32"/>
        </w:rPr>
      </w:pPr>
      <w:r>
        <w:rPr>
          <w:rFonts w:hint="eastAsia" w:ascii="仿宋_GB2312" w:eastAsia="仿宋_GB2312"/>
          <w:sz w:val="32"/>
          <w:szCs w:val="32"/>
        </w:rPr>
        <w:t>7.其他支出（类）其他支出（款）其他支出（项）:支出决算数为7.09万元，比上年决算减少4.80万元，下降40.</w:t>
      </w:r>
      <w:r>
        <w:rPr>
          <w:rFonts w:hint="eastAsia" w:ascii="仿宋_GB2312" w:eastAsia="仿宋_GB2312"/>
          <w:sz w:val="32"/>
          <w:szCs w:val="32"/>
          <w:lang w:val="en-US" w:eastAsia="zh-CN"/>
        </w:rPr>
        <w:t>37</w:t>
      </w:r>
      <w:r>
        <w:rPr>
          <w:rFonts w:hint="eastAsia" w:ascii="仿宋_GB2312" w:eastAsia="仿宋_GB2312"/>
          <w:sz w:val="32"/>
          <w:szCs w:val="32"/>
        </w:rPr>
        <w:t>%，主要原因是：单位</w:t>
      </w:r>
      <w:r>
        <w:rPr>
          <w:rFonts w:hint="eastAsia" w:ascii="仿宋_GB2312" w:eastAsia="仿宋_GB2312"/>
          <w:sz w:val="32"/>
          <w:szCs w:val="32"/>
          <w:lang w:val="en-US" w:eastAsia="zh-CN"/>
        </w:rPr>
        <w:t>本年</w:t>
      </w:r>
      <w:r>
        <w:rPr>
          <w:rFonts w:hint="eastAsia" w:ascii="仿宋_GB2312" w:eastAsia="仿宋_GB2312"/>
          <w:sz w:val="32"/>
          <w:szCs w:val="32"/>
        </w:rPr>
        <w:t>驻村工作</w:t>
      </w:r>
      <w:r>
        <w:rPr>
          <w:rFonts w:hint="eastAsia" w:ascii="仿宋_GB2312" w:eastAsia="仿宋_GB2312"/>
          <w:sz w:val="32"/>
          <w:szCs w:val="32"/>
          <w:lang w:val="en-US" w:eastAsia="zh-CN"/>
        </w:rPr>
        <w:t>人员个人补助</w:t>
      </w:r>
      <w:r>
        <w:rPr>
          <w:rFonts w:hint="eastAsia" w:ascii="仿宋_GB2312" w:eastAsia="仿宋_GB2312"/>
          <w:sz w:val="32"/>
          <w:szCs w:val="32"/>
        </w:rPr>
        <w:t>经费减少。</w:t>
      </w:r>
    </w:p>
    <w:p w14:paraId="38E0BB66">
      <w:pPr>
        <w:ind w:firstLine="640" w:firstLineChars="200"/>
        <w:jc w:val="left"/>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8.社会保障和就业支出（类）行政事业单位养老支出（款）机关事业单位基本养老保险缴费支出（项）:支出决算数为13.95万元，比上年决算减少10.28万元，下降42.4</w:t>
      </w:r>
      <w:r>
        <w:rPr>
          <w:rFonts w:hint="eastAsia" w:ascii="仿宋_GB2312" w:eastAsia="仿宋_GB2312"/>
          <w:sz w:val="32"/>
          <w:szCs w:val="32"/>
          <w:lang w:val="en-US" w:eastAsia="zh-CN"/>
        </w:rPr>
        <w:t>3</w:t>
      </w:r>
      <w:r>
        <w:rPr>
          <w:rFonts w:hint="eastAsia" w:ascii="仿宋_GB2312" w:eastAsia="仿宋_GB2312"/>
          <w:sz w:val="32"/>
          <w:szCs w:val="32"/>
        </w:rPr>
        <w:t>%，主要原因是：单位</w:t>
      </w:r>
      <w:r>
        <w:rPr>
          <w:rFonts w:hint="eastAsia" w:ascii="仿宋_GB2312" w:eastAsia="仿宋_GB2312"/>
          <w:sz w:val="32"/>
          <w:szCs w:val="32"/>
          <w:lang w:val="en-US" w:eastAsia="zh-CN"/>
        </w:rPr>
        <w:t>本年</w:t>
      </w:r>
      <w:r>
        <w:rPr>
          <w:rFonts w:hint="eastAsia" w:ascii="仿宋_GB2312" w:eastAsia="仿宋_GB2312"/>
          <w:sz w:val="32"/>
          <w:szCs w:val="32"/>
        </w:rPr>
        <w:t>人员减少，</w:t>
      </w:r>
      <w:r>
        <w:rPr>
          <w:rFonts w:hint="eastAsia" w:ascii="仿宋_GB2312" w:eastAsia="仿宋_GB2312"/>
          <w:sz w:val="32"/>
          <w:szCs w:val="32"/>
          <w:lang w:val="en-US" w:eastAsia="zh-CN"/>
        </w:rPr>
        <w:t>人员</w:t>
      </w:r>
      <w:r>
        <w:rPr>
          <w:rFonts w:hint="eastAsia" w:ascii="仿宋_GB2312" w:eastAsia="仿宋_GB2312"/>
          <w:sz w:val="32"/>
          <w:szCs w:val="32"/>
        </w:rPr>
        <w:t>养老保险缴费减少。</w:t>
      </w:r>
    </w:p>
    <w:p w14:paraId="20821AAA">
      <w:pPr>
        <w:ind w:firstLine="640" w:firstLineChars="200"/>
        <w:jc w:val="left"/>
        <w:rPr>
          <w:rFonts w:ascii="仿宋_GB2312" w:eastAsia="仿宋_GB2312"/>
          <w:sz w:val="32"/>
          <w:szCs w:val="32"/>
        </w:rPr>
      </w:pPr>
      <w:r>
        <w:rPr>
          <w:rFonts w:hint="eastAsia" w:ascii="仿宋_GB2312" w:eastAsia="仿宋_GB2312"/>
          <w:sz w:val="32"/>
          <w:szCs w:val="32"/>
        </w:rPr>
        <w:t>9.节能环保支出（类）其他节能环保支出（款）其他节能环保支出（项）:支出决算数为0.00万元，比上年决算减少12.87万元，下降100%，主要原因是：</w:t>
      </w:r>
      <w:r>
        <w:rPr>
          <w:rFonts w:hint="eastAsia" w:ascii="仿宋_GB2312" w:eastAsia="仿宋_GB2312"/>
          <w:sz w:val="32"/>
          <w:szCs w:val="32"/>
          <w:lang w:val="en-US" w:eastAsia="zh-CN"/>
        </w:rPr>
        <w:t>单位</w:t>
      </w:r>
      <w:r>
        <w:rPr>
          <w:rFonts w:hint="eastAsia" w:ascii="仿宋_GB2312" w:eastAsia="仿宋_GB2312"/>
          <w:sz w:val="32"/>
          <w:szCs w:val="32"/>
        </w:rPr>
        <w:t>本年环保节能减排专项</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val="en-US" w:eastAsia="zh-CN"/>
        </w:rPr>
        <w:t>较上年减少</w:t>
      </w:r>
      <w:r>
        <w:rPr>
          <w:rFonts w:hint="eastAsia" w:ascii="仿宋_GB2312" w:eastAsia="仿宋_GB2312"/>
          <w:sz w:val="32"/>
          <w:szCs w:val="32"/>
        </w:rPr>
        <w:t>。</w:t>
      </w:r>
    </w:p>
    <w:p w14:paraId="3A45A0B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C340FE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163.63万元，其中：人员经费158.84万元，包括：基本工资、津贴补贴、奖金、机关事业单位基本养老保险缴费、职业年金缴费、职工基本医疗保险缴费、公务员医疗补助缴费、其他社会保障缴费、住房公积金、退休费、奖励金、其他对个人和家庭的补助。</w:t>
      </w:r>
    </w:p>
    <w:p w14:paraId="145224CD">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公用经费4.79万元，包括：办公费、水费、取暖费、差旅费、维修（护）费、劳务费、公务用车运行维护费</w:t>
      </w:r>
      <w:r>
        <w:rPr>
          <w:rFonts w:hint="eastAsia" w:ascii="仿宋_GB2312" w:hAnsi="宋体" w:eastAsia="仿宋_GB2312" w:cs="宋体"/>
          <w:kern w:val="0"/>
          <w:sz w:val="32"/>
          <w:szCs w:val="32"/>
        </w:rPr>
        <w:t>。</w:t>
      </w:r>
    </w:p>
    <w:p w14:paraId="2E5A7BD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604D460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“三公”经费支出1.02万元，</w:t>
      </w:r>
      <w:r>
        <w:rPr>
          <w:rFonts w:hint="eastAsia" w:ascii="仿宋_GB2312" w:eastAsia="仿宋_GB2312"/>
          <w:sz w:val="32"/>
          <w:szCs w:val="32"/>
        </w:rPr>
        <w:t>比上年</w:t>
      </w:r>
      <w:r>
        <w:rPr>
          <w:rFonts w:hint="eastAsia" w:ascii="仿宋_GB2312" w:eastAsia="仿宋_GB2312"/>
          <w:sz w:val="32"/>
          <w:szCs w:val="32"/>
          <w:lang w:val="zh-CN"/>
        </w:rPr>
        <w:t>减少0.38万元，</w:t>
      </w:r>
      <w:r>
        <w:rPr>
          <w:rFonts w:hint="eastAsia" w:ascii="仿宋_GB2312" w:eastAsia="仿宋_GB2312"/>
          <w:sz w:val="32"/>
          <w:szCs w:val="32"/>
        </w:rPr>
        <w:t>下降27.14%,</w:t>
      </w:r>
      <w:r>
        <w:rPr>
          <w:rFonts w:hint="eastAsia" w:ascii="仿宋_GB2312" w:eastAsia="仿宋_GB2312"/>
          <w:sz w:val="32"/>
          <w:szCs w:val="32"/>
          <w:lang w:val="zh-CN"/>
        </w:rPr>
        <w:t>主要原因是：绿色出行，车辆维修维护费、燃油费等减少。其中：因公出国（境）费支出0.00万元，占0.00%，比上年增加0.00万元，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主要原因是：单位本年无此项经费；公务用车购置及运行维护费支出1.02万元，占100.00%，比上年减少0.38万元，</w:t>
      </w:r>
      <w:r>
        <w:rPr>
          <w:rFonts w:hint="eastAsia" w:ascii="仿宋_GB2312" w:eastAsia="仿宋_GB2312"/>
          <w:sz w:val="32"/>
          <w:szCs w:val="32"/>
        </w:rPr>
        <w:t>下降27.14%,</w:t>
      </w:r>
      <w:r>
        <w:rPr>
          <w:rFonts w:hint="eastAsia" w:ascii="仿宋_GB2312" w:eastAsia="仿宋_GB2312"/>
          <w:sz w:val="32"/>
          <w:szCs w:val="32"/>
          <w:lang w:val="zh-CN"/>
        </w:rPr>
        <w:t>主要原因是：绿色出行，车辆维修维护费、燃油费等减少；公务接待费支出0.00万元，占0.00%，比上年增加0.00万元，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0F85A9A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5CB583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350343C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594C7D1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6668AE7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58FA8291">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D6FE55F">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68BF282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8754F2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176AF206">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7CD39C01">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5D14CBAC">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2023年度昌吉州生态环境局木垒县分局（行政单位和参照公务员法管理事业单位）机关运行经费支出4.79万元，比上年减少6.63万元，下降58.06%，主要原因是：</w:t>
      </w:r>
      <w:r>
        <w:rPr>
          <w:rFonts w:hint="eastAsia" w:ascii="仿宋_GB2312" w:eastAsia="仿宋_GB2312"/>
          <w:sz w:val="32"/>
          <w:szCs w:val="32"/>
          <w:lang w:val="en-US" w:eastAsia="zh-CN"/>
        </w:rPr>
        <w:t>单位本年</w:t>
      </w:r>
      <w:r>
        <w:rPr>
          <w:rFonts w:hint="eastAsia" w:ascii="仿宋_GB2312" w:eastAsia="仿宋_GB2312"/>
          <w:sz w:val="32"/>
          <w:szCs w:val="32"/>
        </w:rPr>
        <w:t>办公费、水费、取暖费、</w:t>
      </w:r>
      <w:r>
        <w:rPr>
          <w:rFonts w:hint="eastAsia" w:ascii="仿宋_GB2312" w:eastAsia="仿宋_GB2312"/>
          <w:sz w:val="32"/>
          <w:szCs w:val="32"/>
          <w:lang w:val="en-US" w:eastAsia="zh-CN"/>
        </w:rPr>
        <w:t>劳务费</w:t>
      </w:r>
      <w:r>
        <w:rPr>
          <w:rFonts w:hint="eastAsia" w:ascii="仿宋_GB2312" w:eastAsia="仿宋_GB2312"/>
          <w:sz w:val="32"/>
          <w:szCs w:val="32"/>
        </w:rPr>
        <w:t>、公务用车运行维护费减少。</w:t>
      </w:r>
    </w:p>
    <w:p w14:paraId="01D6625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1886BFA7">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2023年度政府采购支出总额17.14万元，其中：政府采购货物支出7.17万元、政府采购工程支出0.00万元、政府采购服务支出9.97万元。</w:t>
      </w:r>
    </w:p>
    <w:p w14:paraId="047337AD">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授予中小企业合同金额17.14万元，占政府采购支出总额的100.00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，其中：授予小微企业合同金额16.14万元，占政府采购支出总额的94.17%。</w:t>
      </w:r>
    </w:p>
    <w:p w14:paraId="532B8F56">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926A584">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500.93万元，房屋1,752.82平方米，价值365.22万元。车辆1辆，价值17.78万元，其中：副部（省）级及以上领导用车0辆、主要负责人用车0辆、机要通信用车0辆、应急保障用车0辆、执法执勤用车0辆、特种专业技术用车1辆、离退休干部服务用车0辆、其他用车0辆，其他用车主要是：单位无其他车辆；单价100万元（含）以上设备（不含车辆）0台（套）。</w:t>
      </w:r>
    </w:p>
    <w:p w14:paraId="6AA89989">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6116FBC7">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1,297.76</w:t>
      </w:r>
      <w:r>
        <w:rPr>
          <w:rFonts w:hint="eastAsia" w:ascii="仿宋_GB2312" w:eastAsia="仿宋_GB2312"/>
          <w:sz w:val="32"/>
          <w:szCs w:val="32"/>
        </w:rPr>
        <w:t>万元，实际执行总额</w:t>
      </w:r>
      <w:r>
        <w:rPr>
          <w:rFonts w:ascii="仿宋_GB2312" w:eastAsia="仿宋_GB2312"/>
          <w:sz w:val="32"/>
          <w:szCs w:val="32"/>
        </w:rPr>
        <w:t>1,297.76</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w:t>
      </w:r>
      <w:r>
        <w:rPr>
          <w:rFonts w:hint="eastAsia" w:ascii="仿宋_GB2312" w:eastAsia="仿宋_GB2312"/>
          <w:sz w:val="32"/>
          <w:szCs w:val="32"/>
          <w:lang w:eastAsia="zh-CN"/>
        </w:rPr>
        <w:t>高校</w:t>
      </w:r>
      <w:r>
        <w:rPr>
          <w:rFonts w:hint="eastAsia" w:ascii="仿宋_GB2312" w:eastAsia="仿宋_GB2312"/>
          <w:sz w:val="32"/>
          <w:szCs w:val="32"/>
        </w:rPr>
        <w:t>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878"/>
        <w:gridCol w:w="816"/>
        <w:gridCol w:w="1675"/>
        <w:gridCol w:w="1389"/>
        <w:gridCol w:w="1442"/>
        <w:gridCol w:w="854"/>
        <w:gridCol w:w="709"/>
        <w:gridCol w:w="759"/>
      </w:tblGrid>
      <w:tr w14:paraId="484BE3D0">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9C5E76C">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C267485">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26F8AA4">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6C2627E5">
        <w:tblPrEx>
          <w:tblCellMar>
            <w:top w:w="0" w:type="dxa"/>
            <w:left w:w="108" w:type="dxa"/>
            <w:bottom w:w="0" w:type="dxa"/>
            <w:right w:w="108" w:type="dxa"/>
          </w:tblCellMar>
        </w:tblPrEx>
        <w:trPr>
          <w:trHeight w:val="660"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A50DBF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644" w:type="dxa"/>
            <w:gridSpan w:val="7"/>
            <w:tcBorders>
              <w:top w:val="single" w:color="auto" w:sz="4" w:space="0"/>
              <w:left w:val="nil"/>
              <w:bottom w:val="single" w:color="auto" w:sz="4" w:space="0"/>
              <w:right w:val="single" w:color="auto" w:sz="4" w:space="0"/>
            </w:tcBorders>
            <w:shd w:val="clear" w:color="auto" w:fill="auto"/>
            <w:noWrap/>
            <w:vAlign w:val="center"/>
          </w:tcPr>
          <w:p w14:paraId="6B13A823">
            <w:pPr>
              <w:widowControl/>
              <w:jc w:val="center"/>
              <w:rPr>
                <w:rFonts w:hint="eastAsia" w:ascii="宋体" w:hAnsi="宋体" w:cs="宋体"/>
                <w:kern w:val="0"/>
                <w:sz w:val="20"/>
                <w:szCs w:val="20"/>
              </w:rPr>
            </w:pPr>
            <w:r>
              <w:rPr>
                <w:rFonts w:hint="eastAsia" w:ascii="宋体" w:hAnsi="宋体" w:cs="宋体"/>
                <w:kern w:val="0"/>
                <w:sz w:val="20"/>
                <w:szCs w:val="20"/>
                <w:lang w:val="en-US" w:eastAsia="zh-CN"/>
              </w:rPr>
              <w:t>昌吉州生态环境局</w:t>
            </w:r>
            <w:r>
              <w:rPr>
                <w:rFonts w:hint="eastAsia" w:ascii="宋体" w:hAnsi="宋体" w:cs="宋体"/>
                <w:kern w:val="0"/>
                <w:sz w:val="20"/>
                <w:szCs w:val="20"/>
              </w:rPr>
              <w:t>木垒县</w:t>
            </w:r>
            <w:r>
              <w:rPr>
                <w:rFonts w:hint="eastAsia" w:ascii="宋体" w:hAnsi="宋体" w:cs="宋体"/>
                <w:kern w:val="0"/>
                <w:sz w:val="20"/>
                <w:szCs w:val="20"/>
                <w:lang w:val="en-US" w:eastAsia="zh-CN"/>
              </w:rPr>
              <w:t>分局</w:t>
            </w:r>
          </w:p>
        </w:tc>
      </w:tr>
      <w:tr w14:paraId="0F690EA0">
        <w:tblPrEx>
          <w:tblCellMar>
            <w:top w:w="0" w:type="dxa"/>
            <w:left w:w="108" w:type="dxa"/>
            <w:bottom w:w="0" w:type="dxa"/>
            <w:right w:w="108" w:type="dxa"/>
          </w:tblCellMar>
        </w:tblPrEx>
        <w:trPr>
          <w:trHeight w:val="570"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D56CA9">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16" w:type="dxa"/>
            <w:tcBorders>
              <w:top w:val="nil"/>
              <w:left w:val="nil"/>
              <w:bottom w:val="single" w:color="auto" w:sz="4" w:space="0"/>
              <w:right w:val="single" w:color="auto" w:sz="4" w:space="0"/>
            </w:tcBorders>
            <w:shd w:val="clear" w:color="auto" w:fill="auto"/>
            <w:vAlign w:val="center"/>
          </w:tcPr>
          <w:p w14:paraId="2CB65B99">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675" w:type="dxa"/>
            <w:tcBorders>
              <w:top w:val="nil"/>
              <w:left w:val="nil"/>
              <w:bottom w:val="single" w:color="auto" w:sz="4" w:space="0"/>
              <w:right w:val="single" w:color="auto" w:sz="4" w:space="0"/>
            </w:tcBorders>
            <w:shd w:val="clear" w:color="auto" w:fill="auto"/>
            <w:vAlign w:val="center"/>
          </w:tcPr>
          <w:p w14:paraId="6AE4CC0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389" w:type="dxa"/>
            <w:tcBorders>
              <w:top w:val="nil"/>
              <w:left w:val="nil"/>
              <w:bottom w:val="single" w:color="auto" w:sz="4" w:space="0"/>
              <w:right w:val="single" w:color="auto" w:sz="4" w:space="0"/>
            </w:tcBorders>
            <w:shd w:val="clear" w:color="auto" w:fill="auto"/>
            <w:vAlign w:val="center"/>
          </w:tcPr>
          <w:p w14:paraId="667330E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42" w:type="dxa"/>
            <w:tcBorders>
              <w:top w:val="nil"/>
              <w:left w:val="nil"/>
              <w:bottom w:val="single" w:color="auto" w:sz="4" w:space="0"/>
              <w:right w:val="single" w:color="auto" w:sz="4" w:space="0"/>
            </w:tcBorders>
            <w:shd w:val="clear" w:color="auto" w:fill="auto"/>
            <w:vAlign w:val="center"/>
          </w:tcPr>
          <w:p w14:paraId="6C2724F1">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54" w:type="dxa"/>
            <w:tcBorders>
              <w:top w:val="nil"/>
              <w:left w:val="nil"/>
              <w:bottom w:val="single" w:color="auto" w:sz="4" w:space="0"/>
              <w:right w:val="single" w:color="auto" w:sz="4" w:space="0"/>
            </w:tcBorders>
            <w:shd w:val="clear" w:color="auto" w:fill="auto"/>
            <w:vAlign w:val="center"/>
          </w:tcPr>
          <w:p w14:paraId="34C11F6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6FDE4A9E">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759" w:type="dxa"/>
            <w:tcBorders>
              <w:top w:val="nil"/>
              <w:left w:val="nil"/>
              <w:bottom w:val="single" w:color="auto" w:sz="4" w:space="0"/>
              <w:right w:val="single" w:color="auto" w:sz="4" w:space="0"/>
            </w:tcBorders>
            <w:shd w:val="clear" w:color="auto" w:fill="auto"/>
            <w:vAlign w:val="center"/>
          </w:tcPr>
          <w:p w14:paraId="3DE182F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9B835EB">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4C62D702">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noWrap/>
            <w:vAlign w:val="center"/>
          </w:tcPr>
          <w:p w14:paraId="06DF3B20">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675" w:type="dxa"/>
            <w:tcBorders>
              <w:top w:val="nil"/>
              <w:left w:val="nil"/>
              <w:bottom w:val="single" w:color="auto" w:sz="4" w:space="0"/>
              <w:right w:val="single" w:color="auto" w:sz="4" w:space="0"/>
            </w:tcBorders>
            <w:shd w:val="clear" w:color="auto" w:fill="auto"/>
            <w:vAlign w:val="center"/>
          </w:tcPr>
          <w:p w14:paraId="3CEBF47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430E8220">
            <w:pPr>
              <w:widowControl/>
              <w:jc w:val="center"/>
              <w:rPr>
                <w:rFonts w:hint="eastAsia" w:ascii="宋体" w:hAnsi="宋体" w:cs="宋体"/>
                <w:kern w:val="0"/>
                <w:sz w:val="20"/>
                <w:szCs w:val="20"/>
              </w:rPr>
            </w:pPr>
            <w:r>
              <w:rPr>
                <w:rFonts w:hint="eastAsia" w:ascii="宋体" w:hAnsi="宋体" w:cs="宋体"/>
                <w:kern w:val="0"/>
                <w:sz w:val="20"/>
                <w:szCs w:val="20"/>
              </w:rPr>
              <w:t>982.80</w:t>
            </w:r>
          </w:p>
        </w:tc>
        <w:tc>
          <w:tcPr>
            <w:tcW w:w="1442" w:type="dxa"/>
            <w:tcBorders>
              <w:top w:val="nil"/>
              <w:left w:val="nil"/>
              <w:bottom w:val="single" w:color="auto" w:sz="4" w:space="0"/>
              <w:right w:val="single" w:color="auto" w:sz="4" w:space="0"/>
            </w:tcBorders>
            <w:shd w:val="clear" w:color="auto" w:fill="auto"/>
            <w:vAlign w:val="center"/>
          </w:tcPr>
          <w:p w14:paraId="1EA2D9FF">
            <w:pPr>
              <w:widowControl/>
              <w:jc w:val="center"/>
              <w:rPr>
                <w:rFonts w:hint="eastAsia" w:ascii="宋体" w:hAnsi="宋体" w:cs="宋体"/>
                <w:kern w:val="0"/>
                <w:sz w:val="20"/>
                <w:szCs w:val="20"/>
              </w:rPr>
            </w:pPr>
            <w:r>
              <w:rPr>
                <w:rFonts w:hint="eastAsia" w:ascii="宋体" w:hAnsi="宋体" w:cs="宋体"/>
                <w:kern w:val="0"/>
                <w:sz w:val="20"/>
                <w:szCs w:val="20"/>
              </w:rPr>
              <w:t>9</w:t>
            </w:r>
            <w:bookmarkStart w:id="48" w:name="_GoBack"/>
            <w:bookmarkEnd w:id="48"/>
            <w:r>
              <w:rPr>
                <w:rFonts w:hint="eastAsia" w:ascii="宋体" w:hAnsi="宋体" w:cs="宋体"/>
                <w:kern w:val="0"/>
                <w:sz w:val="20"/>
                <w:szCs w:val="20"/>
              </w:rPr>
              <w:t>82.80</w:t>
            </w:r>
          </w:p>
        </w:tc>
        <w:tc>
          <w:tcPr>
            <w:tcW w:w="854" w:type="dxa"/>
            <w:tcBorders>
              <w:top w:val="nil"/>
              <w:left w:val="nil"/>
              <w:bottom w:val="single" w:color="auto" w:sz="4" w:space="0"/>
              <w:right w:val="single" w:color="auto" w:sz="4" w:space="0"/>
            </w:tcBorders>
            <w:shd w:val="clear" w:color="auto" w:fill="auto"/>
            <w:vAlign w:val="center"/>
          </w:tcPr>
          <w:p w14:paraId="6891D35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3D65AA4A">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759" w:type="dxa"/>
            <w:tcBorders>
              <w:top w:val="nil"/>
              <w:left w:val="nil"/>
              <w:bottom w:val="single" w:color="auto" w:sz="4" w:space="0"/>
              <w:right w:val="single" w:color="auto" w:sz="4" w:space="0"/>
            </w:tcBorders>
            <w:shd w:val="clear" w:color="auto" w:fill="auto"/>
            <w:vAlign w:val="center"/>
          </w:tcPr>
          <w:p w14:paraId="0042B22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2A461B5">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4AF92601">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5333CDF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675" w:type="dxa"/>
            <w:tcBorders>
              <w:top w:val="nil"/>
              <w:left w:val="nil"/>
              <w:bottom w:val="single" w:color="auto" w:sz="4" w:space="0"/>
              <w:right w:val="single" w:color="auto" w:sz="4" w:space="0"/>
            </w:tcBorders>
            <w:shd w:val="clear" w:color="auto" w:fill="auto"/>
            <w:vAlign w:val="center"/>
          </w:tcPr>
          <w:p w14:paraId="05711B0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5F25B786">
            <w:pPr>
              <w:widowControl/>
              <w:jc w:val="center"/>
              <w:rPr>
                <w:rFonts w:hint="eastAsia" w:ascii="宋体" w:hAnsi="宋体" w:cs="宋体"/>
                <w:kern w:val="0"/>
                <w:sz w:val="20"/>
                <w:szCs w:val="20"/>
              </w:rPr>
            </w:pPr>
            <w:r>
              <w:rPr>
                <w:rFonts w:hint="eastAsia" w:ascii="宋体" w:hAnsi="宋体" w:cs="宋体"/>
                <w:kern w:val="0"/>
                <w:sz w:val="20"/>
                <w:szCs w:val="20"/>
              </w:rPr>
              <w:t>151.33</w:t>
            </w:r>
          </w:p>
        </w:tc>
        <w:tc>
          <w:tcPr>
            <w:tcW w:w="1442" w:type="dxa"/>
            <w:tcBorders>
              <w:top w:val="nil"/>
              <w:left w:val="nil"/>
              <w:bottom w:val="single" w:color="auto" w:sz="4" w:space="0"/>
              <w:right w:val="single" w:color="auto" w:sz="4" w:space="0"/>
            </w:tcBorders>
            <w:shd w:val="clear" w:color="auto" w:fill="auto"/>
            <w:vAlign w:val="center"/>
          </w:tcPr>
          <w:p w14:paraId="44FE786E">
            <w:pPr>
              <w:widowControl/>
              <w:jc w:val="center"/>
              <w:rPr>
                <w:rFonts w:hint="eastAsia" w:ascii="宋体" w:hAnsi="宋体" w:cs="宋体"/>
                <w:kern w:val="0"/>
                <w:sz w:val="20"/>
                <w:szCs w:val="20"/>
              </w:rPr>
            </w:pPr>
            <w:r>
              <w:rPr>
                <w:rFonts w:hint="eastAsia" w:ascii="宋体" w:hAnsi="宋体" w:cs="宋体"/>
                <w:kern w:val="0"/>
                <w:sz w:val="20"/>
                <w:szCs w:val="20"/>
              </w:rPr>
              <w:t>151.33</w:t>
            </w:r>
          </w:p>
        </w:tc>
        <w:tc>
          <w:tcPr>
            <w:tcW w:w="854" w:type="dxa"/>
            <w:tcBorders>
              <w:top w:val="nil"/>
              <w:left w:val="nil"/>
              <w:bottom w:val="single" w:color="auto" w:sz="4" w:space="0"/>
              <w:right w:val="single" w:color="auto" w:sz="4" w:space="0"/>
            </w:tcBorders>
            <w:shd w:val="clear" w:color="auto" w:fill="auto"/>
            <w:vAlign w:val="center"/>
          </w:tcPr>
          <w:p w14:paraId="715EEB4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6173E78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36868B8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2CE86B7">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57455384">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9A1C4F9">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675" w:type="dxa"/>
            <w:tcBorders>
              <w:top w:val="nil"/>
              <w:left w:val="nil"/>
              <w:bottom w:val="single" w:color="auto" w:sz="4" w:space="0"/>
              <w:right w:val="single" w:color="auto" w:sz="4" w:space="0"/>
            </w:tcBorders>
            <w:shd w:val="clear" w:color="auto" w:fill="auto"/>
            <w:vAlign w:val="center"/>
          </w:tcPr>
          <w:p w14:paraId="6E0E4C0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3586FAD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42" w:type="dxa"/>
            <w:tcBorders>
              <w:top w:val="nil"/>
              <w:left w:val="nil"/>
              <w:bottom w:val="single" w:color="auto" w:sz="4" w:space="0"/>
              <w:right w:val="single" w:color="auto" w:sz="4" w:space="0"/>
            </w:tcBorders>
            <w:shd w:val="clear" w:color="auto" w:fill="auto"/>
            <w:vAlign w:val="center"/>
          </w:tcPr>
          <w:p w14:paraId="1651C56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4" w:type="dxa"/>
            <w:tcBorders>
              <w:top w:val="nil"/>
              <w:left w:val="nil"/>
              <w:bottom w:val="single" w:color="auto" w:sz="4" w:space="0"/>
              <w:right w:val="single" w:color="auto" w:sz="4" w:space="0"/>
            </w:tcBorders>
            <w:shd w:val="clear" w:color="auto" w:fill="auto"/>
            <w:vAlign w:val="center"/>
          </w:tcPr>
          <w:p w14:paraId="5A0DC15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5CBF6C7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36B1EC9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767C553">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28131238">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7EAEABDB">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675" w:type="dxa"/>
            <w:tcBorders>
              <w:top w:val="nil"/>
              <w:left w:val="nil"/>
              <w:bottom w:val="single" w:color="auto" w:sz="4" w:space="0"/>
              <w:right w:val="single" w:color="auto" w:sz="4" w:space="0"/>
            </w:tcBorders>
            <w:shd w:val="clear" w:color="auto" w:fill="auto"/>
            <w:vAlign w:val="center"/>
          </w:tcPr>
          <w:p w14:paraId="0E03F5A2">
            <w:pPr>
              <w:widowControl/>
              <w:jc w:val="center"/>
              <w:rPr>
                <w:rFonts w:hint="eastAsia" w:ascii="宋体" w:hAnsi="宋体" w:cs="宋体"/>
                <w:kern w:val="0"/>
                <w:sz w:val="20"/>
                <w:szCs w:val="20"/>
              </w:rPr>
            </w:pPr>
            <w:r>
              <w:rPr>
                <w:rFonts w:hint="eastAsia" w:ascii="宋体" w:hAnsi="宋体" w:cs="宋体"/>
                <w:kern w:val="0"/>
                <w:sz w:val="20"/>
                <w:szCs w:val="20"/>
              </w:rPr>
              <w:t>161.09</w:t>
            </w:r>
          </w:p>
        </w:tc>
        <w:tc>
          <w:tcPr>
            <w:tcW w:w="1389" w:type="dxa"/>
            <w:tcBorders>
              <w:top w:val="nil"/>
              <w:left w:val="nil"/>
              <w:bottom w:val="single" w:color="auto" w:sz="4" w:space="0"/>
              <w:right w:val="single" w:color="auto" w:sz="4" w:space="0"/>
            </w:tcBorders>
            <w:shd w:val="clear" w:color="auto" w:fill="auto"/>
            <w:vAlign w:val="center"/>
          </w:tcPr>
          <w:p w14:paraId="48F3121B">
            <w:pPr>
              <w:widowControl/>
              <w:jc w:val="center"/>
              <w:rPr>
                <w:rFonts w:hint="eastAsia" w:ascii="宋体" w:hAnsi="宋体" w:cs="宋体"/>
                <w:kern w:val="0"/>
                <w:sz w:val="20"/>
                <w:szCs w:val="20"/>
              </w:rPr>
            </w:pPr>
            <w:r>
              <w:rPr>
                <w:rFonts w:hint="eastAsia" w:ascii="宋体" w:hAnsi="宋体" w:cs="宋体"/>
                <w:kern w:val="0"/>
                <w:sz w:val="20"/>
                <w:szCs w:val="20"/>
              </w:rPr>
              <w:t>163.63</w:t>
            </w:r>
          </w:p>
        </w:tc>
        <w:tc>
          <w:tcPr>
            <w:tcW w:w="1442" w:type="dxa"/>
            <w:tcBorders>
              <w:top w:val="nil"/>
              <w:left w:val="nil"/>
              <w:bottom w:val="single" w:color="auto" w:sz="4" w:space="0"/>
              <w:right w:val="single" w:color="auto" w:sz="4" w:space="0"/>
            </w:tcBorders>
            <w:shd w:val="clear" w:color="auto" w:fill="auto"/>
            <w:vAlign w:val="center"/>
          </w:tcPr>
          <w:p w14:paraId="300A6FE0">
            <w:pPr>
              <w:widowControl/>
              <w:jc w:val="center"/>
              <w:rPr>
                <w:rFonts w:hint="eastAsia" w:ascii="宋体" w:hAnsi="宋体" w:cs="宋体"/>
                <w:kern w:val="0"/>
                <w:sz w:val="20"/>
                <w:szCs w:val="20"/>
              </w:rPr>
            </w:pPr>
            <w:r>
              <w:rPr>
                <w:rFonts w:hint="eastAsia" w:ascii="宋体" w:hAnsi="宋体" w:cs="宋体"/>
                <w:kern w:val="0"/>
                <w:sz w:val="20"/>
                <w:szCs w:val="20"/>
              </w:rPr>
              <w:t>163.63</w:t>
            </w:r>
          </w:p>
        </w:tc>
        <w:tc>
          <w:tcPr>
            <w:tcW w:w="854" w:type="dxa"/>
            <w:tcBorders>
              <w:top w:val="nil"/>
              <w:left w:val="nil"/>
              <w:bottom w:val="single" w:color="auto" w:sz="4" w:space="0"/>
              <w:right w:val="single" w:color="auto" w:sz="4" w:space="0"/>
            </w:tcBorders>
            <w:shd w:val="clear" w:color="auto" w:fill="auto"/>
            <w:vAlign w:val="center"/>
          </w:tcPr>
          <w:p w14:paraId="1B72A497">
            <w:pPr>
              <w:widowControl/>
              <w:jc w:val="center"/>
              <w:rPr>
                <w:rFonts w:hint="eastAsia" w:ascii="宋体" w:hAnsi="宋体" w:cs="宋体"/>
                <w:kern w:val="0"/>
                <w:sz w:val="20"/>
                <w:szCs w:val="20"/>
              </w:rPr>
            </w:pPr>
            <w:r>
              <w:rPr>
                <w:rFonts w:hint="eastAsia"/>
              </w:rPr>
              <w:t>-</w:t>
            </w:r>
          </w:p>
        </w:tc>
        <w:tc>
          <w:tcPr>
            <w:tcW w:w="709" w:type="dxa"/>
            <w:tcBorders>
              <w:top w:val="nil"/>
              <w:left w:val="nil"/>
              <w:bottom w:val="single" w:color="auto" w:sz="4" w:space="0"/>
              <w:right w:val="single" w:color="auto" w:sz="4" w:space="0"/>
            </w:tcBorders>
            <w:shd w:val="clear" w:color="auto" w:fill="auto"/>
            <w:vAlign w:val="center"/>
          </w:tcPr>
          <w:p w14:paraId="182101E2">
            <w:pPr>
              <w:widowControl/>
              <w:jc w:val="center"/>
              <w:rPr>
                <w:rFonts w:hint="eastAsia" w:ascii="宋体" w:hAnsi="宋体" w:cs="宋体"/>
                <w:kern w:val="0"/>
                <w:sz w:val="20"/>
                <w:szCs w:val="20"/>
              </w:rPr>
            </w:pPr>
            <w:r>
              <w:rPr>
                <w:rFonts w:hint="eastAsia"/>
              </w:rPr>
              <w:t>-</w:t>
            </w:r>
          </w:p>
        </w:tc>
        <w:tc>
          <w:tcPr>
            <w:tcW w:w="759" w:type="dxa"/>
            <w:tcBorders>
              <w:top w:val="nil"/>
              <w:left w:val="nil"/>
              <w:bottom w:val="single" w:color="auto" w:sz="4" w:space="0"/>
              <w:right w:val="single" w:color="auto" w:sz="4" w:space="0"/>
            </w:tcBorders>
            <w:shd w:val="clear" w:color="auto" w:fill="auto"/>
            <w:vAlign w:val="center"/>
          </w:tcPr>
          <w:p w14:paraId="45520A73">
            <w:pPr>
              <w:widowControl/>
              <w:jc w:val="center"/>
              <w:rPr>
                <w:rFonts w:hint="eastAsia" w:ascii="宋体" w:hAnsi="宋体" w:cs="宋体"/>
                <w:kern w:val="0"/>
                <w:sz w:val="20"/>
                <w:szCs w:val="20"/>
              </w:rPr>
            </w:pPr>
            <w:r>
              <w:rPr>
                <w:rFonts w:hint="eastAsia"/>
              </w:rPr>
              <w:t>-</w:t>
            </w:r>
          </w:p>
        </w:tc>
      </w:tr>
      <w:tr w14:paraId="4641A4BF">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630A0267">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20B0FFF">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675" w:type="dxa"/>
            <w:tcBorders>
              <w:top w:val="nil"/>
              <w:left w:val="nil"/>
              <w:bottom w:val="single" w:color="auto" w:sz="4" w:space="0"/>
              <w:right w:val="single" w:color="auto" w:sz="4" w:space="0"/>
            </w:tcBorders>
            <w:shd w:val="clear" w:color="auto" w:fill="auto"/>
            <w:vAlign w:val="center"/>
          </w:tcPr>
          <w:p w14:paraId="4D7176AA">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389" w:type="dxa"/>
            <w:tcBorders>
              <w:top w:val="nil"/>
              <w:left w:val="nil"/>
              <w:bottom w:val="single" w:color="auto" w:sz="4" w:space="0"/>
              <w:right w:val="single" w:color="auto" w:sz="4" w:space="0"/>
            </w:tcBorders>
            <w:shd w:val="clear" w:color="auto" w:fill="auto"/>
            <w:vAlign w:val="center"/>
          </w:tcPr>
          <w:p w14:paraId="14E2271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42" w:type="dxa"/>
            <w:tcBorders>
              <w:top w:val="nil"/>
              <w:left w:val="nil"/>
              <w:bottom w:val="single" w:color="auto" w:sz="4" w:space="0"/>
              <w:right w:val="single" w:color="auto" w:sz="4" w:space="0"/>
            </w:tcBorders>
            <w:shd w:val="clear" w:color="auto" w:fill="auto"/>
            <w:vAlign w:val="center"/>
          </w:tcPr>
          <w:p w14:paraId="43031E5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54" w:type="dxa"/>
            <w:tcBorders>
              <w:top w:val="nil"/>
              <w:left w:val="nil"/>
              <w:bottom w:val="single" w:color="auto" w:sz="4" w:space="0"/>
              <w:right w:val="single" w:color="auto" w:sz="4" w:space="0"/>
            </w:tcBorders>
            <w:shd w:val="clear" w:color="auto" w:fill="auto"/>
            <w:vAlign w:val="center"/>
          </w:tcPr>
          <w:p w14:paraId="69B08A4F">
            <w:pPr>
              <w:widowControl/>
              <w:jc w:val="center"/>
              <w:rPr>
                <w:rFonts w:hint="eastAsia" w:ascii="宋体" w:hAnsi="宋体" w:cs="宋体"/>
                <w:kern w:val="0"/>
                <w:sz w:val="20"/>
                <w:szCs w:val="20"/>
              </w:rPr>
            </w:pPr>
            <w:r>
              <w:rPr>
                <w:rFonts w:hint="eastAsia"/>
              </w:rPr>
              <w:t>-</w:t>
            </w:r>
          </w:p>
        </w:tc>
        <w:tc>
          <w:tcPr>
            <w:tcW w:w="709" w:type="dxa"/>
            <w:tcBorders>
              <w:top w:val="nil"/>
              <w:left w:val="nil"/>
              <w:bottom w:val="single" w:color="auto" w:sz="4" w:space="0"/>
              <w:right w:val="single" w:color="auto" w:sz="4" w:space="0"/>
            </w:tcBorders>
            <w:shd w:val="clear" w:color="auto" w:fill="auto"/>
            <w:vAlign w:val="center"/>
          </w:tcPr>
          <w:p w14:paraId="34B6DF34">
            <w:pPr>
              <w:widowControl/>
              <w:jc w:val="center"/>
              <w:rPr>
                <w:rFonts w:hint="eastAsia" w:ascii="宋体" w:hAnsi="宋体" w:cs="宋体"/>
                <w:kern w:val="0"/>
                <w:sz w:val="20"/>
                <w:szCs w:val="20"/>
              </w:rPr>
            </w:pPr>
            <w:r>
              <w:rPr>
                <w:rFonts w:hint="eastAsia"/>
              </w:rPr>
              <w:t>-</w:t>
            </w:r>
          </w:p>
        </w:tc>
        <w:tc>
          <w:tcPr>
            <w:tcW w:w="759" w:type="dxa"/>
            <w:tcBorders>
              <w:top w:val="nil"/>
              <w:left w:val="nil"/>
              <w:bottom w:val="single" w:color="auto" w:sz="4" w:space="0"/>
              <w:right w:val="single" w:color="auto" w:sz="4" w:space="0"/>
            </w:tcBorders>
            <w:shd w:val="clear" w:color="auto" w:fill="auto"/>
            <w:vAlign w:val="center"/>
          </w:tcPr>
          <w:p w14:paraId="669D93F2">
            <w:pPr>
              <w:widowControl/>
              <w:jc w:val="center"/>
              <w:rPr>
                <w:rFonts w:hint="eastAsia" w:ascii="宋体" w:hAnsi="宋体" w:cs="宋体"/>
                <w:kern w:val="0"/>
                <w:sz w:val="20"/>
                <w:szCs w:val="20"/>
              </w:rPr>
            </w:pPr>
            <w:r>
              <w:rPr>
                <w:rFonts w:hint="eastAsia"/>
              </w:rPr>
              <w:t>-</w:t>
            </w:r>
          </w:p>
        </w:tc>
      </w:tr>
      <w:tr w14:paraId="73E41E1D">
        <w:tblPrEx>
          <w:tblCellMar>
            <w:top w:w="0" w:type="dxa"/>
            <w:left w:w="108" w:type="dxa"/>
            <w:bottom w:w="0" w:type="dxa"/>
            <w:right w:w="108" w:type="dxa"/>
          </w:tblCellMar>
        </w:tblPrEx>
        <w:trPr>
          <w:trHeight w:val="879"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5F5A1A90">
            <w:pPr>
              <w:widowControl/>
              <w:jc w:val="left"/>
              <w:rPr>
                <w:rFonts w:hint="eastAsia" w:ascii="宋体" w:hAnsi="宋体" w:cs="宋体"/>
                <w:kern w:val="0"/>
                <w:sz w:val="20"/>
                <w:szCs w:val="20"/>
              </w:rPr>
            </w:pPr>
          </w:p>
        </w:tc>
        <w:tc>
          <w:tcPr>
            <w:tcW w:w="816" w:type="dxa"/>
            <w:tcBorders>
              <w:top w:val="nil"/>
              <w:left w:val="nil"/>
              <w:bottom w:val="single" w:color="auto" w:sz="4" w:space="0"/>
              <w:right w:val="single" w:color="auto" w:sz="4" w:space="0"/>
            </w:tcBorders>
            <w:shd w:val="clear" w:color="auto" w:fill="auto"/>
            <w:vAlign w:val="center"/>
          </w:tcPr>
          <w:p w14:paraId="1EB9E4B9">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675" w:type="dxa"/>
            <w:tcBorders>
              <w:top w:val="nil"/>
              <w:left w:val="nil"/>
              <w:bottom w:val="single" w:color="auto" w:sz="4" w:space="0"/>
              <w:right w:val="single" w:color="auto" w:sz="4" w:space="0"/>
            </w:tcBorders>
            <w:shd w:val="clear" w:color="auto" w:fill="auto"/>
            <w:vAlign w:val="center"/>
          </w:tcPr>
          <w:p w14:paraId="5C8861F3">
            <w:pPr>
              <w:widowControl/>
              <w:jc w:val="center"/>
              <w:rPr>
                <w:rFonts w:hint="eastAsia" w:ascii="宋体" w:hAnsi="宋体" w:cs="宋体"/>
                <w:kern w:val="0"/>
                <w:sz w:val="20"/>
                <w:szCs w:val="20"/>
              </w:rPr>
            </w:pPr>
            <w:r>
              <w:rPr>
                <w:rFonts w:hint="eastAsia" w:ascii="宋体" w:hAnsi="宋体" w:cs="宋体"/>
                <w:kern w:val="0"/>
                <w:sz w:val="20"/>
                <w:szCs w:val="20"/>
              </w:rPr>
              <w:t>161.09</w:t>
            </w:r>
          </w:p>
        </w:tc>
        <w:tc>
          <w:tcPr>
            <w:tcW w:w="1389" w:type="dxa"/>
            <w:tcBorders>
              <w:top w:val="nil"/>
              <w:left w:val="nil"/>
              <w:bottom w:val="single" w:color="auto" w:sz="4" w:space="0"/>
              <w:right w:val="single" w:color="auto" w:sz="4" w:space="0"/>
            </w:tcBorders>
            <w:shd w:val="clear" w:color="auto" w:fill="auto"/>
            <w:vAlign w:val="center"/>
          </w:tcPr>
          <w:p w14:paraId="772291D3">
            <w:pPr>
              <w:widowControl/>
              <w:jc w:val="center"/>
              <w:rPr>
                <w:rFonts w:hint="eastAsia" w:ascii="宋体" w:hAnsi="宋体" w:cs="宋体"/>
                <w:kern w:val="0"/>
                <w:sz w:val="20"/>
                <w:szCs w:val="20"/>
              </w:rPr>
            </w:pPr>
            <w:r>
              <w:rPr>
                <w:rFonts w:hint="eastAsia" w:ascii="宋体" w:hAnsi="宋体" w:cs="宋体"/>
                <w:kern w:val="0"/>
                <w:sz w:val="20"/>
                <w:szCs w:val="20"/>
              </w:rPr>
              <w:t>1,297.76</w:t>
            </w:r>
          </w:p>
        </w:tc>
        <w:tc>
          <w:tcPr>
            <w:tcW w:w="1442" w:type="dxa"/>
            <w:tcBorders>
              <w:top w:val="nil"/>
              <w:left w:val="nil"/>
              <w:bottom w:val="single" w:color="auto" w:sz="4" w:space="0"/>
              <w:right w:val="single" w:color="auto" w:sz="4" w:space="0"/>
            </w:tcBorders>
            <w:shd w:val="clear" w:color="auto" w:fill="auto"/>
            <w:vAlign w:val="center"/>
          </w:tcPr>
          <w:p w14:paraId="044130BC">
            <w:pPr>
              <w:widowControl/>
              <w:jc w:val="center"/>
              <w:rPr>
                <w:rFonts w:hint="eastAsia" w:ascii="宋体" w:hAnsi="宋体" w:cs="宋体"/>
                <w:kern w:val="0"/>
                <w:sz w:val="20"/>
                <w:szCs w:val="20"/>
              </w:rPr>
            </w:pPr>
            <w:r>
              <w:rPr>
                <w:rFonts w:hint="eastAsia" w:ascii="宋体" w:hAnsi="宋体" w:cs="宋体"/>
                <w:kern w:val="0"/>
                <w:sz w:val="20"/>
                <w:szCs w:val="20"/>
              </w:rPr>
              <w:t>1,297.76</w:t>
            </w:r>
          </w:p>
        </w:tc>
        <w:tc>
          <w:tcPr>
            <w:tcW w:w="854" w:type="dxa"/>
            <w:tcBorders>
              <w:top w:val="nil"/>
              <w:left w:val="nil"/>
              <w:bottom w:val="single" w:color="auto" w:sz="4" w:space="0"/>
              <w:right w:val="single" w:color="auto" w:sz="4" w:space="0"/>
            </w:tcBorders>
            <w:shd w:val="clear" w:color="auto" w:fill="auto"/>
            <w:vAlign w:val="center"/>
          </w:tcPr>
          <w:p w14:paraId="53F7511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09" w:type="dxa"/>
            <w:tcBorders>
              <w:top w:val="nil"/>
              <w:left w:val="nil"/>
              <w:bottom w:val="single" w:color="auto" w:sz="4" w:space="0"/>
              <w:right w:val="single" w:color="auto" w:sz="4" w:space="0"/>
            </w:tcBorders>
            <w:shd w:val="clear" w:color="auto" w:fill="auto"/>
            <w:vAlign w:val="center"/>
          </w:tcPr>
          <w:p w14:paraId="51EFEE4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759" w:type="dxa"/>
            <w:tcBorders>
              <w:top w:val="nil"/>
              <w:left w:val="nil"/>
              <w:bottom w:val="single" w:color="auto" w:sz="4" w:space="0"/>
              <w:right w:val="single" w:color="auto" w:sz="4" w:space="0"/>
            </w:tcBorders>
            <w:shd w:val="clear" w:color="auto" w:fill="auto"/>
            <w:vAlign w:val="center"/>
          </w:tcPr>
          <w:p w14:paraId="7C94CF5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3D1058F">
        <w:tblPrEx>
          <w:tblCellMar>
            <w:top w:w="0" w:type="dxa"/>
            <w:left w:w="108" w:type="dxa"/>
            <w:bottom w:w="0" w:type="dxa"/>
            <w:right w:w="108" w:type="dxa"/>
          </w:tblCellMar>
        </w:tblPrEx>
        <w:trPr>
          <w:trHeight w:val="705"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643E24">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880" w:type="dxa"/>
            <w:gridSpan w:val="3"/>
            <w:tcBorders>
              <w:top w:val="single" w:color="auto" w:sz="4" w:space="0"/>
              <w:left w:val="nil"/>
              <w:bottom w:val="single" w:color="auto" w:sz="4" w:space="0"/>
              <w:right w:val="single" w:color="auto" w:sz="4" w:space="0"/>
            </w:tcBorders>
            <w:shd w:val="clear" w:color="auto" w:fill="auto"/>
            <w:noWrap/>
            <w:vAlign w:val="center"/>
          </w:tcPr>
          <w:p w14:paraId="4DB0AB71">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764" w:type="dxa"/>
            <w:gridSpan w:val="4"/>
            <w:tcBorders>
              <w:top w:val="single" w:color="auto" w:sz="4" w:space="0"/>
              <w:left w:val="nil"/>
              <w:bottom w:val="single" w:color="auto" w:sz="4" w:space="0"/>
              <w:right w:val="single" w:color="auto" w:sz="4" w:space="0"/>
            </w:tcBorders>
            <w:shd w:val="clear" w:color="auto" w:fill="auto"/>
            <w:noWrap/>
            <w:vAlign w:val="center"/>
          </w:tcPr>
          <w:p w14:paraId="0DADE904">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7C9CFED3">
        <w:tblPrEx>
          <w:tblCellMar>
            <w:top w:w="0" w:type="dxa"/>
            <w:left w:w="108" w:type="dxa"/>
            <w:bottom w:w="0" w:type="dxa"/>
            <w:right w:w="108" w:type="dxa"/>
          </w:tblCellMar>
        </w:tblPrEx>
        <w:trPr>
          <w:trHeight w:val="200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64CF273F">
            <w:pPr>
              <w:widowControl/>
              <w:jc w:val="left"/>
              <w:rPr>
                <w:rFonts w:hint="eastAsia" w:ascii="宋体" w:hAnsi="宋体" w:cs="宋体"/>
                <w:kern w:val="0"/>
                <w:sz w:val="20"/>
                <w:szCs w:val="20"/>
              </w:rPr>
            </w:pPr>
          </w:p>
        </w:tc>
        <w:tc>
          <w:tcPr>
            <w:tcW w:w="3880" w:type="dxa"/>
            <w:gridSpan w:val="3"/>
            <w:tcBorders>
              <w:top w:val="single" w:color="auto" w:sz="4" w:space="0"/>
              <w:left w:val="nil"/>
              <w:bottom w:val="single" w:color="auto" w:sz="4" w:space="0"/>
              <w:right w:val="single" w:color="auto" w:sz="4" w:space="0"/>
            </w:tcBorders>
            <w:shd w:val="clear" w:color="auto" w:fill="auto"/>
            <w:vAlign w:val="center"/>
          </w:tcPr>
          <w:p w14:paraId="7A219617">
            <w:pPr>
              <w:widowControl/>
              <w:jc w:val="center"/>
              <w:rPr>
                <w:rFonts w:hint="eastAsia" w:ascii="宋体" w:hAnsi="宋体" w:cs="宋体"/>
                <w:kern w:val="0"/>
                <w:sz w:val="20"/>
                <w:szCs w:val="20"/>
              </w:rPr>
            </w:pPr>
            <w:r>
              <w:rPr>
                <w:rFonts w:hint="eastAsia" w:ascii="宋体" w:hAnsi="宋体" w:cs="宋体"/>
                <w:kern w:val="0"/>
                <w:sz w:val="20"/>
                <w:szCs w:val="20"/>
              </w:rPr>
              <w:t>2023年开展“六五环境日”专场宣讲1场次、“五进”宣教10场次，组织企业开展法律法规培训4次；扎实推进冬季大气污染综合治理，全面完成65蒸吨以下燃煤锅炉淘汰整治58台，环境空气质量优良率保持97%以上</w:t>
            </w:r>
            <w:r>
              <w:rPr>
                <w:rFonts w:hint="eastAsia" w:ascii="宋体" w:hAnsi="宋体" w:cs="宋体"/>
                <w:kern w:val="0"/>
                <w:sz w:val="20"/>
                <w:szCs w:val="20"/>
                <w:lang w:eastAsia="zh-CN"/>
              </w:rPr>
              <w:t>，</w:t>
            </w:r>
            <w:r>
              <w:rPr>
                <w:rFonts w:hint="eastAsia" w:ascii="宋体" w:hAnsi="宋体" w:cs="宋体"/>
                <w:kern w:val="0"/>
                <w:sz w:val="20"/>
                <w:szCs w:val="20"/>
              </w:rPr>
              <w:t>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c>
          <w:tcPr>
            <w:tcW w:w="3764" w:type="dxa"/>
            <w:gridSpan w:val="4"/>
            <w:tcBorders>
              <w:top w:val="single" w:color="auto" w:sz="4" w:space="0"/>
              <w:left w:val="nil"/>
              <w:bottom w:val="single" w:color="auto" w:sz="4" w:space="0"/>
              <w:right w:val="single" w:color="auto" w:sz="4" w:space="0"/>
            </w:tcBorders>
            <w:shd w:val="clear" w:color="auto" w:fill="auto"/>
            <w:vAlign w:val="center"/>
          </w:tcPr>
          <w:p w14:paraId="7587FA5F">
            <w:pPr>
              <w:widowControl/>
              <w:jc w:val="center"/>
              <w:rPr>
                <w:rFonts w:hint="eastAsia" w:ascii="宋体" w:hAnsi="宋体" w:cs="宋体"/>
                <w:kern w:val="0"/>
                <w:sz w:val="20"/>
                <w:szCs w:val="20"/>
              </w:rPr>
            </w:pPr>
            <w:r>
              <w:rPr>
                <w:rFonts w:hint="eastAsia" w:ascii="宋体" w:hAnsi="宋体" w:cs="宋体"/>
                <w:kern w:val="0"/>
                <w:sz w:val="20"/>
                <w:szCs w:val="20"/>
                <w:lang w:eastAsia="zh-CN"/>
              </w:rPr>
              <w:t>截至2023年</w:t>
            </w:r>
            <w:r>
              <w:rPr>
                <w:rFonts w:hint="eastAsia" w:ascii="宋体" w:hAnsi="宋体" w:cs="宋体"/>
                <w:kern w:val="0"/>
                <w:sz w:val="20"/>
                <w:szCs w:val="20"/>
              </w:rPr>
              <w:t>部门整体自评，我单位已完成如下工作：保障办公人员数量11人，公务保障用车数量1辆，环境应急演练数量1次。开展“六五环境日”专场宣讲1场次、“五进”宣教10场次，组织企业开展法律法规培训4次；扎实推进冬季大气污染综合治理，全面完成65蒸吨以下燃煤锅炉淘汰整治58台，环境空气质量优良率保持97%以上</w:t>
            </w:r>
            <w:r>
              <w:rPr>
                <w:rFonts w:hint="eastAsia" w:ascii="宋体" w:hAnsi="宋体" w:cs="宋体"/>
                <w:kern w:val="0"/>
                <w:sz w:val="20"/>
                <w:szCs w:val="20"/>
                <w:lang w:eastAsia="zh-CN"/>
              </w:rPr>
              <w:t>，</w:t>
            </w:r>
            <w:r>
              <w:rPr>
                <w:rFonts w:hint="eastAsia" w:ascii="宋体" w:hAnsi="宋体" w:cs="宋体"/>
                <w:kern w:val="0"/>
                <w:sz w:val="20"/>
                <w:szCs w:val="20"/>
              </w:rPr>
              <w:t>PM2.5浓度持续低于12.9微克每立方米；做好区域水环境治理监管，切实保障集中式饮用水水源水质达标率稳定在100%；至少完成2次集中式饮用水水源地规范化建设及环境安全和黑臭水体排查整治；开展环境应急演练不少于1次，风险源企业突发环境事件应急预案备案率达到90%以上。</w:t>
            </w:r>
          </w:p>
        </w:tc>
      </w:tr>
      <w:tr w14:paraId="630F69F7">
        <w:tblPrEx>
          <w:tblCellMar>
            <w:top w:w="0" w:type="dxa"/>
            <w:left w:w="108" w:type="dxa"/>
            <w:bottom w:w="0" w:type="dxa"/>
            <w:right w:w="108" w:type="dxa"/>
          </w:tblCellMar>
        </w:tblPrEx>
        <w:trPr>
          <w:trHeight w:val="579" w:hRule="atLeast"/>
          <w:jc w:val="center"/>
        </w:trPr>
        <w:tc>
          <w:tcPr>
            <w:tcW w:w="878" w:type="dxa"/>
            <w:tcBorders>
              <w:top w:val="single" w:color="auto" w:sz="4" w:space="0"/>
              <w:left w:val="single" w:color="auto" w:sz="4" w:space="0"/>
              <w:bottom w:val="single" w:color="auto" w:sz="4" w:space="0"/>
              <w:right w:val="single" w:color="auto" w:sz="4" w:space="0"/>
            </w:tcBorders>
            <w:shd w:val="clear" w:color="auto" w:fill="auto"/>
            <w:vAlign w:val="center"/>
          </w:tcPr>
          <w:p w14:paraId="2DE8EFA5">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16" w:type="dxa"/>
            <w:tcBorders>
              <w:top w:val="nil"/>
              <w:left w:val="nil"/>
              <w:bottom w:val="single" w:color="auto" w:sz="4" w:space="0"/>
              <w:right w:val="single" w:color="auto" w:sz="4" w:space="0"/>
            </w:tcBorders>
            <w:shd w:val="clear" w:color="auto" w:fill="auto"/>
            <w:vAlign w:val="center"/>
          </w:tcPr>
          <w:p w14:paraId="5C3E64AE">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675" w:type="dxa"/>
            <w:tcBorders>
              <w:top w:val="nil"/>
              <w:left w:val="nil"/>
              <w:bottom w:val="single" w:color="auto" w:sz="4" w:space="0"/>
              <w:right w:val="single" w:color="auto" w:sz="4" w:space="0"/>
            </w:tcBorders>
            <w:shd w:val="clear" w:color="auto" w:fill="auto"/>
            <w:vAlign w:val="center"/>
          </w:tcPr>
          <w:p w14:paraId="60A95BF3">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389" w:type="dxa"/>
            <w:tcBorders>
              <w:top w:val="nil"/>
              <w:left w:val="nil"/>
              <w:bottom w:val="single" w:color="auto" w:sz="4" w:space="0"/>
              <w:right w:val="single" w:color="auto" w:sz="4" w:space="0"/>
            </w:tcBorders>
            <w:shd w:val="clear" w:color="auto" w:fill="auto"/>
            <w:vAlign w:val="center"/>
          </w:tcPr>
          <w:p w14:paraId="5C3952F7">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42" w:type="dxa"/>
            <w:tcBorders>
              <w:top w:val="nil"/>
              <w:left w:val="nil"/>
              <w:bottom w:val="single" w:color="auto" w:sz="4" w:space="0"/>
              <w:right w:val="single" w:color="auto" w:sz="4" w:space="0"/>
            </w:tcBorders>
            <w:shd w:val="clear" w:color="auto" w:fill="auto"/>
            <w:vAlign w:val="center"/>
          </w:tcPr>
          <w:p w14:paraId="1E30B7D5">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54" w:type="dxa"/>
            <w:tcBorders>
              <w:top w:val="nil"/>
              <w:left w:val="nil"/>
              <w:bottom w:val="single" w:color="auto" w:sz="4" w:space="0"/>
              <w:right w:val="single" w:color="auto" w:sz="4" w:space="0"/>
            </w:tcBorders>
            <w:shd w:val="clear" w:color="auto" w:fill="auto"/>
            <w:vAlign w:val="center"/>
          </w:tcPr>
          <w:p w14:paraId="4E0921A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709" w:type="dxa"/>
            <w:tcBorders>
              <w:top w:val="nil"/>
              <w:left w:val="nil"/>
              <w:bottom w:val="single" w:color="auto" w:sz="4" w:space="0"/>
              <w:right w:val="single" w:color="auto" w:sz="4" w:space="0"/>
            </w:tcBorders>
            <w:shd w:val="clear" w:color="auto" w:fill="auto"/>
            <w:vAlign w:val="center"/>
          </w:tcPr>
          <w:p w14:paraId="4F5CAAC8">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759" w:type="dxa"/>
            <w:tcBorders>
              <w:top w:val="nil"/>
              <w:left w:val="nil"/>
              <w:bottom w:val="single" w:color="auto" w:sz="4" w:space="0"/>
              <w:right w:val="single" w:color="auto" w:sz="4" w:space="0"/>
            </w:tcBorders>
            <w:shd w:val="clear" w:color="auto" w:fill="auto"/>
            <w:vAlign w:val="center"/>
          </w:tcPr>
          <w:p w14:paraId="31108D7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48F21159">
        <w:tblPrEx>
          <w:tblCellMar>
            <w:top w:w="0" w:type="dxa"/>
            <w:left w:w="108" w:type="dxa"/>
            <w:bottom w:w="0" w:type="dxa"/>
            <w:right w:w="108" w:type="dxa"/>
          </w:tblCellMar>
        </w:tblPrEx>
        <w:trPr>
          <w:trHeight w:val="741"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6105DD">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622AE70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75" w:type="dxa"/>
            <w:tcBorders>
              <w:top w:val="nil"/>
              <w:left w:val="nil"/>
              <w:bottom w:val="single" w:color="auto" w:sz="4" w:space="0"/>
              <w:right w:val="single" w:color="auto" w:sz="4" w:space="0"/>
            </w:tcBorders>
            <w:shd w:val="clear" w:color="auto" w:fill="auto"/>
            <w:vAlign w:val="center"/>
          </w:tcPr>
          <w:p w14:paraId="22ED8EB3">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389" w:type="dxa"/>
            <w:tcBorders>
              <w:top w:val="nil"/>
              <w:left w:val="nil"/>
              <w:bottom w:val="single" w:color="auto" w:sz="4" w:space="0"/>
              <w:right w:val="single" w:color="auto" w:sz="4" w:space="0"/>
            </w:tcBorders>
            <w:shd w:val="clear" w:color="auto" w:fill="auto"/>
            <w:vAlign w:val="center"/>
          </w:tcPr>
          <w:p w14:paraId="0E882160">
            <w:pPr>
              <w:widowControl/>
              <w:jc w:val="center"/>
              <w:rPr>
                <w:rFonts w:hint="eastAsia" w:ascii="宋体" w:hAnsi="宋体" w:cs="宋体"/>
                <w:kern w:val="0"/>
                <w:sz w:val="20"/>
                <w:szCs w:val="20"/>
              </w:rPr>
            </w:pPr>
            <w:r>
              <w:rPr>
                <w:rFonts w:hint="eastAsia" w:ascii="宋体" w:hAnsi="宋体" w:cs="宋体"/>
                <w:kern w:val="0"/>
                <w:sz w:val="20"/>
                <w:szCs w:val="20"/>
              </w:rPr>
              <w:t>≥11人</w:t>
            </w:r>
          </w:p>
        </w:tc>
        <w:tc>
          <w:tcPr>
            <w:tcW w:w="1442" w:type="dxa"/>
            <w:tcBorders>
              <w:top w:val="nil"/>
              <w:left w:val="nil"/>
              <w:bottom w:val="single" w:color="auto" w:sz="4" w:space="0"/>
              <w:right w:val="single" w:color="auto" w:sz="4" w:space="0"/>
            </w:tcBorders>
            <w:shd w:val="clear" w:color="auto" w:fill="auto"/>
            <w:vAlign w:val="center"/>
          </w:tcPr>
          <w:p w14:paraId="17752A22">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昌吉回族自治州生态环境局职能配置、内设机构和人员编制规定</w:t>
            </w:r>
          </w:p>
        </w:tc>
        <w:tc>
          <w:tcPr>
            <w:tcW w:w="854" w:type="dxa"/>
            <w:tcBorders>
              <w:top w:val="nil"/>
              <w:left w:val="nil"/>
              <w:bottom w:val="single" w:color="auto" w:sz="4" w:space="0"/>
              <w:right w:val="single" w:color="auto" w:sz="4" w:space="0"/>
            </w:tcBorders>
            <w:shd w:val="clear" w:color="auto" w:fill="auto"/>
            <w:vAlign w:val="center"/>
          </w:tcPr>
          <w:p w14:paraId="04DE0E0E">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55CDEF4C">
            <w:pPr>
              <w:widowControl/>
              <w:jc w:val="center"/>
              <w:rPr>
                <w:rFonts w:hint="eastAsia" w:ascii="宋体" w:hAnsi="宋体" w:cs="宋体"/>
                <w:kern w:val="0"/>
                <w:sz w:val="20"/>
                <w:szCs w:val="20"/>
              </w:rPr>
            </w:pPr>
            <w:r>
              <w:rPr>
                <w:rFonts w:hint="eastAsia" w:ascii="宋体" w:hAnsi="宋体" w:cs="宋体"/>
                <w:kern w:val="0"/>
                <w:sz w:val="20"/>
                <w:szCs w:val="20"/>
              </w:rPr>
              <w:t>11人</w:t>
            </w:r>
          </w:p>
        </w:tc>
        <w:tc>
          <w:tcPr>
            <w:tcW w:w="759" w:type="dxa"/>
            <w:tcBorders>
              <w:top w:val="nil"/>
              <w:left w:val="nil"/>
              <w:bottom w:val="single" w:color="auto" w:sz="4" w:space="0"/>
              <w:right w:val="single" w:color="auto" w:sz="4" w:space="0"/>
            </w:tcBorders>
            <w:shd w:val="clear" w:color="auto" w:fill="auto"/>
            <w:vAlign w:val="center"/>
          </w:tcPr>
          <w:p w14:paraId="586229FF">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6326C219">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09906AE3">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4613AFE">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2120E26A">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389" w:type="dxa"/>
            <w:tcBorders>
              <w:top w:val="nil"/>
              <w:left w:val="nil"/>
              <w:bottom w:val="single" w:color="auto" w:sz="4" w:space="0"/>
              <w:right w:val="single" w:color="auto" w:sz="4" w:space="0"/>
            </w:tcBorders>
            <w:shd w:val="clear" w:color="auto" w:fill="auto"/>
            <w:vAlign w:val="center"/>
          </w:tcPr>
          <w:p w14:paraId="059AC292">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1442" w:type="dxa"/>
            <w:tcBorders>
              <w:top w:val="nil"/>
              <w:left w:val="nil"/>
              <w:bottom w:val="single" w:color="auto" w:sz="4" w:space="0"/>
              <w:right w:val="single" w:color="auto" w:sz="4" w:space="0"/>
            </w:tcBorders>
            <w:shd w:val="clear" w:color="auto" w:fill="auto"/>
            <w:vAlign w:val="center"/>
          </w:tcPr>
          <w:p w14:paraId="1D270826">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昌吉回族自治州生态环境局职能配置、内设机构和人员编制规定</w:t>
            </w:r>
          </w:p>
        </w:tc>
        <w:tc>
          <w:tcPr>
            <w:tcW w:w="854" w:type="dxa"/>
            <w:tcBorders>
              <w:top w:val="nil"/>
              <w:left w:val="nil"/>
              <w:bottom w:val="single" w:color="auto" w:sz="4" w:space="0"/>
              <w:right w:val="single" w:color="auto" w:sz="4" w:space="0"/>
            </w:tcBorders>
            <w:shd w:val="clear" w:color="auto" w:fill="auto"/>
            <w:vAlign w:val="center"/>
          </w:tcPr>
          <w:p w14:paraId="7D705A9D">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709" w:type="dxa"/>
            <w:tcBorders>
              <w:top w:val="nil"/>
              <w:left w:val="nil"/>
              <w:bottom w:val="single" w:color="auto" w:sz="4" w:space="0"/>
              <w:right w:val="single" w:color="auto" w:sz="4" w:space="0"/>
            </w:tcBorders>
            <w:shd w:val="clear" w:color="auto" w:fill="auto"/>
            <w:vAlign w:val="center"/>
          </w:tcPr>
          <w:p w14:paraId="5A513DCF">
            <w:pPr>
              <w:widowControl/>
              <w:jc w:val="center"/>
              <w:rPr>
                <w:rFonts w:hint="eastAsia" w:ascii="宋体" w:hAnsi="宋体" w:cs="宋体"/>
                <w:kern w:val="0"/>
                <w:sz w:val="20"/>
                <w:szCs w:val="20"/>
              </w:rPr>
            </w:pPr>
            <w:r>
              <w:rPr>
                <w:rFonts w:hint="eastAsia" w:ascii="宋体" w:hAnsi="宋体" w:cs="宋体"/>
                <w:kern w:val="0"/>
                <w:sz w:val="20"/>
                <w:szCs w:val="20"/>
              </w:rPr>
              <w:t>1辆</w:t>
            </w:r>
          </w:p>
        </w:tc>
        <w:tc>
          <w:tcPr>
            <w:tcW w:w="759" w:type="dxa"/>
            <w:tcBorders>
              <w:top w:val="nil"/>
              <w:left w:val="nil"/>
              <w:bottom w:val="single" w:color="auto" w:sz="4" w:space="0"/>
              <w:right w:val="single" w:color="auto" w:sz="4" w:space="0"/>
            </w:tcBorders>
            <w:shd w:val="clear" w:color="auto" w:fill="auto"/>
            <w:vAlign w:val="center"/>
          </w:tcPr>
          <w:p w14:paraId="79BD02F1">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5145AB6E">
        <w:tblPrEx>
          <w:tblCellMar>
            <w:top w:w="0" w:type="dxa"/>
            <w:left w:w="108" w:type="dxa"/>
            <w:bottom w:w="0" w:type="dxa"/>
            <w:right w:w="108" w:type="dxa"/>
          </w:tblCellMar>
        </w:tblPrEx>
        <w:trPr>
          <w:trHeight w:val="741" w:hRule="atLeast"/>
          <w:jc w:val="center"/>
        </w:trPr>
        <w:tc>
          <w:tcPr>
            <w:tcW w:w="87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FF63EE">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16" w:type="dxa"/>
            <w:tcBorders>
              <w:top w:val="nil"/>
              <w:left w:val="nil"/>
              <w:bottom w:val="single" w:color="auto" w:sz="4" w:space="0"/>
              <w:right w:val="single" w:color="auto" w:sz="4" w:space="0"/>
            </w:tcBorders>
            <w:shd w:val="clear" w:color="auto" w:fill="auto"/>
            <w:vAlign w:val="center"/>
          </w:tcPr>
          <w:p w14:paraId="1CA9A4AA">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675" w:type="dxa"/>
            <w:tcBorders>
              <w:top w:val="nil"/>
              <w:left w:val="nil"/>
              <w:bottom w:val="single" w:color="auto" w:sz="4" w:space="0"/>
              <w:right w:val="single" w:color="auto" w:sz="4" w:space="0"/>
            </w:tcBorders>
            <w:shd w:val="clear" w:color="auto" w:fill="auto"/>
            <w:vAlign w:val="center"/>
          </w:tcPr>
          <w:p w14:paraId="331EC355">
            <w:pPr>
              <w:widowControl/>
              <w:jc w:val="center"/>
              <w:rPr>
                <w:rFonts w:hint="eastAsia" w:ascii="宋体" w:hAnsi="宋体" w:cs="宋体"/>
                <w:kern w:val="0"/>
                <w:sz w:val="20"/>
                <w:szCs w:val="20"/>
              </w:rPr>
            </w:pPr>
            <w:r>
              <w:rPr>
                <w:rFonts w:hint="eastAsia" w:ascii="宋体" w:hAnsi="宋体" w:cs="宋体"/>
                <w:kern w:val="0"/>
                <w:sz w:val="20"/>
                <w:szCs w:val="20"/>
              </w:rPr>
              <w:t>空气质量综合指数</w:t>
            </w:r>
          </w:p>
        </w:tc>
        <w:tc>
          <w:tcPr>
            <w:tcW w:w="1389" w:type="dxa"/>
            <w:tcBorders>
              <w:top w:val="nil"/>
              <w:left w:val="nil"/>
              <w:bottom w:val="single" w:color="auto" w:sz="4" w:space="0"/>
              <w:right w:val="single" w:color="auto" w:sz="4" w:space="0"/>
            </w:tcBorders>
            <w:shd w:val="clear" w:color="auto" w:fill="auto"/>
            <w:vAlign w:val="center"/>
          </w:tcPr>
          <w:p w14:paraId="3E3868D9">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vAlign w:val="center"/>
          </w:tcPr>
          <w:p w14:paraId="151B25ED">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14:paraId="4D8AA77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vAlign w:val="center"/>
          </w:tcPr>
          <w:p w14:paraId="5B46C303">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vAlign w:val="center"/>
          </w:tcPr>
          <w:p w14:paraId="44B43AE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0E5BEB3">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78CE752C">
            <w:pPr>
              <w:widowControl/>
              <w:jc w:val="left"/>
              <w:rPr>
                <w:rFonts w:hint="eastAsia" w:ascii="宋体" w:hAnsi="宋体" w:cs="宋体"/>
                <w:kern w:val="0"/>
                <w:sz w:val="20"/>
                <w:szCs w:val="20"/>
              </w:rPr>
            </w:pP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23720D80">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675" w:type="dxa"/>
            <w:tcBorders>
              <w:top w:val="nil"/>
              <w:left w:val="nil"/>
              <w:bottom w:val="single" w:color="auto" w:sz="4" w:space="0"/>
              <w:right w:val="single" w:color="auto" w:sz="4" w:space="0"/>
            </w:tcBorders>
            <w:shd w:val="clear" w:color="auto" w:fill="auto"/>
            <w:vAlign w:val="center"/>
          </w:tcPr>
          <w:p w14:paraId="697CAC5B">
            <w:pPr>
              <w:widowControl/>
              <w:jc w:val="center"/>
              <w:rPr>
                <w:rFonts w:hint="eastAsia" w:ascii="宋体" w:hAnsi="宋体" w:cs="宋体"/>
                <w:kern w:val="0"/>
                <w:sz w:val="20"/>
                <w:szCs w:val="20"/>
              </w:rPr>
            </w:pPr>
            <w:r>
              <w:rPr>
                <w:rFonts w:hint="eastAsia" w:ascii="宋体" w:hAnsi="宋体" w:cs="宋体"/>
                <w:kern w:val="0"/>
                <w:sz w:val="20"/>
                <w:szCs w:val="20"/>
              </w:rPr>
              <w:t>65蒸吨以下燃煤锅炉淘汰整治数量</w:t>
            </w:r>
          </w:p>
        </w:tc>
        <w:tc>
          <w:tcPr>
            <w:tcW w:w="1389" w:type="dxa"/>
            <w:tcBorders>
              <w:top w:val="nil"/>
              <w:left w:val="nil"/>
              <w:bottom w:val="single" w:color="auto" w:sz="4" w:space="0"/>
              <w:right w:val="single" w:color="auto" w:sz="4" w:space="0"/>
            </w:tcBorders>
            <w:shd w:val="clear" w:color="auto" w:fill="auto"/>
            <w:vAlign w:val="center"/>
          </w:tcPr>
          <w:p w14:paraId="6EED1C7C">
            <w:pPr>
              <w:widowControl/>
              <w:jc w:val="center"/>
              <w:rPr>
                <w:rFonts w:hint="eastAsia" w:ascii="宋体" w:hAnsi="宋体" w:cs="宋体"/>
                <w:kern w:val="0"/>
                <w:sz w:val="20"/>
                <w:szCs w:val="20"/>
              </w:rPr>
            </w:pPr>
            <w:r>
              <w:rPr>
                <w:rFonts w:hint="eastAsia" w:ascii="宋体" w:hAnsi="宋体" w:cs="宋体"/>
                <w:kern w:val="0"/>
                <w:sz w:val="20"/>
                <w:szCs w:val="20"/>
              </w:rPr>
              <w:t>≥58台</w:t>
            </w:r>
          </w:p>
        </w:tc>
        <w:tc>
          <w:tcPr>
            <w:tcW w:w="1442" w:type="dxa"/>
            <w:tcBorders>
              <w:top w:val="nil"/>
              <w:left w:val="nil"/>
              <w:bottom w:val="single" w:color="auto" w:sz="4" w:space="0"/>
              <w:right w:val="single" w:color="auto" w:sz="4" w:space="0"/>
            </w:tcBorders>
            <w:shd w:val="clear" w:color="auto" w:fill="auto"/>
            <w:vAlign w:val="center"/>
          </w:tcPr>
          <w:p w14:paraId="196AC3CD">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14:paraId="2FE6419A">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2F6F7847">
            <w:pPr>
              <w:widowControl/>
              <w:jc w:val="center"/>
              <w:rPr>
                <w:rFonts w:hint="eastAsia" w:ascii="宋体" w:hAnsi="宋体" w:cs="宋体"/>
                <w:kern w:val="0"/>
                <w:sz w:val="20"/>
                <w:szCs w:val="20"/>
              </w:rPr>
            </w:pPr>
            <w:r>
              <w:rPr>
                <w:rFonts w:hint="eastAsia" w:ascii="宋体" w:hAnsi="宋体" w:cs="宋体"/>
                <w:kern w:val="0"/>
                <w:sz w:val="20"/>
                <w:szCs w:val="20"/>
              </w:rPr>
              <w:t>88台</w:t>
            </w:r>
          </w:p>
        </w:tc>
        <w:tc>
          <w:tcPr>
            <w:tcW w:w="759" w:type="dxa"/>
            <w:tcBorders>
              <w:top w:val="nil"/>
              <w:left w:val="nil"/>
              <w:bottom w:val="single" w:color="auto" w:sz="4" w:space="0"/>
              <w:right w:val="single" w:color="auto" w:sz="4" w:space="0"/>
            </w:tcBorders>
            <w:shd w:val="clear" w:color="auto" w:fill="auto"/>
            <w:vAlign w:val="center"/>
          </w:tcPr>
          <w:p w14:paraId="626612A2">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539EAE66">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08D19772">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BABAFA7">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vAlign w:val="center"/>
          </w:tcPr>
          <w:p w14:paraId="347E8AB3">
            <w:pPr>
              <w:widowControl/>
              <w:jc w:val="center"/>
              <w:rPr>
                <w:rFonts w:hint="eastAsia" w:ascii="宋体" w:hAnsi="宋体" w:cs="宋体"/>
                <w:kern w:val="0"/>
                <w:sz w:val="20"/>
                <w:szCs w:val="20"/>
              </w:rPr>
            </w:pPr>
            <w:r>
              <w:rPr>
                <w:rFonts w:hint="eastAsia" w:ascii="宋体" w:hAnsi="宋体" w:cs="宋体"/>
                <w:kern w:val="0"/>
                <w:sz w:val="20"/>
                <w:szCs w:val="20"/>
              </w:rPr>
              <w:t>水环境质量考核目标和减排指标完成率</w:t>
            </w:r>
          </w:p>
        </w:tc>
        <w:tc>
          <w:tcPr>
            <w:tcW w:w="1389" w:type="dxa"/>
            <w:tcBorders>
              <w:top w:val="nil"/>
              <w:left w:val="nil"/>
              <w:bottom w:val="single" w:color="auto" w:sz="4" w:space="0"/>
              <w:right w:val="single" w:color="auto" w:sz="4" w:space="0"/>
            </w:tcBorders>
            <w:shd w:val="clear" w:color="auto" w:fill="auto"/>
            <w:vAlign w:val="center"/>
          </w:tcPr>
          <w:p w14:paraId="759BBBFB">
            <w:pPr>
              <w:widowControl/>
              <w:jc w:val="center"/>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vAlign w:val="center"/>
          </w:tcPr>
          <w:p w14:paraId="72878CE8">
            <w:pPr>
              <w:widowControl/>
              <w:jc w:val="center"/>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vAlign w:val="center"/>
          </w:tcPr>
          <w:p w14:paraId="5535A2E1">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vAlign w:val="center"/>
          </w:tcPr>
          <w:p w14:paraId="05B682A9">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vAlign w:val="center"/>
          </w:tcPr>
          <w:p w14:paraId="45BF369B">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7C36C8D3">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099573F2">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58DCC2D">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14:paraId="6BDEBC34">
            <w:pPr>
              <w:widowControl/>
              <w:jc w:val="left"/>
              <w:rPr>
                <w:rFonts w:hint="eastAsia" w:ascii="宋体" w:hAnsi="宋体" w:cs="宋体"/>
                <w:kern w:val="0"/>
                <w:sz w:val="20"/>
                <w:szCs w:val="20"/>
              </w:rPr>
            </w:pPr>
            <w:r>
              <w:rPr>
                <w:rFonts w:hint="eastAsia" w:ascii="宋体" w:hAnsi="宋体" w:cs="宋体"/>
                <w:kern w:val="0"/>
                <w:sz w:val="20"/>
                <w:szCs w:val="20"/>
              </w:rPr>
              <w:t>环境空气质量优良率</w:t>
            </w:r>
          </w:p>
        </w:tc>
        <w:tc>
          <w:tcPr>
            <w:tcW w:w="1389" w:type="dxa"/>
            <w:tcBorders>
              <w:top w:val="nil"/>
              <w:left w:val="nil"/>
              <w:bottom w:val="single" w:color="auto" w:sz="4" w:space="0"/>
              <w:right w:val="single" w:color="auto" w:sz="4" w:space="0"/>
            </w:tcBorders>
            <w:shd w:val="clear" w:color="auto" w:fill="auto"/>
            <w:noWrap/>
            <w:vAlign w:val="center"/>
          </w:tcPr>
          <w:p w14:paraId="5AE6F945">
            <w:pPr>
              <w:widowControl/>
              <w:jc w:val="left"/>
              <w:rPr>
                <w:rFonts w:hint="eastAsia" w:ascii="宋体" w:hAnsi="宋体" w:cs="宋体"/>
                <w:kern w:val="0"/>
                <w:sz w:val="20"/>
                <w:szCs w:val="20"/>
              </w:rPr>
            </w:pPr>
            <w:r>
              <w:rPr>
                <w:rFonts w:hint="eastAsia" w:ascii="宋体" w:hAnsi="宋体" w:cs="宋体"/>
                <w:kern w:val="0"/>
                <w:sz w:val="20"/>
                <w:szCs w:val="20"/>
              </w:rPr>
              <w:t>≥97%</w:t>
            </w:r>
          </w:p>
        </w:tc>
        <w:tc>
          <w:tcPr>
            <w:tcW w:w="1442" w:type="dxa"/>
            <w:tcBorders>
              <w:top w:val="nil"/>
              <w:left w:val="nil"/>
              <w:bottom w:val="single" w:color="auto" w:sz="4" w:space="0"/>
              <w:right w:val="single" w:color="auto" w:sz="4" w:space="0"/>
            </w:tcBorders>
            <w:shd w:val="clear" w:color="auto" w:fill="auto"/>
            <w:noWrap/>
            <w:vAlign w:val="center"/>
          </w:tcPr>
          <w:p w14:paraId="69F5B8EF">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14:paraId="12C4A61B">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noWrap/>
            <w:vAlign w:val="center"/>
          </w:tcPr>
          <w:p w14:paraId="1D252843">
            <w:pPr>
              <w:widowControl/>
              <w:jc w:val="left"/>
              <w:rPr>
                <w:rFonts w:hint="eastAsia" w:ascii="宋体" w:hAnsi="宋体" w:cs="宋体"/>
                <w:kern w:val="0"/>
                <w:sz w:val="20"/>
                <w:szCs w:val="20"/>
              </w:rPr>
            </w:pPr>
            <w:r>
              <w:rPr>
                <w:rFonts w:hint="eastAsia" w:ascii="宋体" w:hAnsi="宋体" w:cs="宋体"/>
                <w:kern w:val="0"/>
                <w:sz w:val="20"/>
                <w:szCs w:val="20"/>
              </w:rPr>
              <w:t>99%</w:t>
            </w:r>
          </w:p>
        </w:tc>
        <w:tc>
          <w:tcPr>
            <w:tcW w:w="759" w:type="dxa"/>
            <w:tcBorders>
              <w:top w:val="nil"/>
              <w:left w:val="nil"/>
              <w:bottom w:val="single" w:color="auto" w:sz="4" w:space="0"/>
              <w:right w:val="single" w:color="auto" w:sz="4" w:space="0"/>
            </w:tcBorders>
            <w:shd w:val="clear" w:color="auto" w:fill="auto"/>
            <w:noWrap/>
            <w:vAlign w:val="center"/>
          </w:tcPr>
          <w:p w14:paraId="35864CA3">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15F4CB7D">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5CC34F05">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4BBB6322">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14:paraId="6ED6F3E7">
            <w:pPr>
              <w:widowControl/>
              <w:jc w:val="left"/>
              <w:rPr>
                <w:rFonts w:hint="eastAsia" w:ascii="宋体" w:hAnsi="宋体" w:cs="宋体"/>
                <w:kern w:val="0"/>
                <w:sz w:val="20"/>
                <w:szCs w:val="20"/>
              </w:rPr>
            </w:pPr>
            <w:r>
              <w:rPr>
                <w:rFonts w:hint="eastAsia" w:ascii="宋体" w:hAnsi="宋体" w:cs="宋体"/>
                <w:kern w:val="0"/>
                <w:sz w:val="20"/>
                <w:szCs w:val="20"/>
              </w:rPr>
              <w:t>风险源企业突发环境事件应急预案备案率</w:t>
            </w:r>
          </w:p>
        </w:tc>
        <w:tc>
          <w:tcPr>
            <w:tcW w:w="1389" w:type="dxa"/>
            <w:tcBorders>
              <w:top w:val="nil"/>
              <w:left w:val="nil"/>
              <w:bottom w:val="single" w:color="auto" w:sz="4" w:space="0"/>
              <w:right w:val="single" w:color="auto" w:sz="4" w:space="0"/>
            </w:tcBorders>
            <w:shd w:val="clear" w:color="auto" w:fill="auto"/>
            <w:noWrap/>
            <w:vAlign w:val="center"/>
          </w:tcPr>
          <w:p w14:paraId="4757DBFB">
            <w:pPr>
              <w:widowControl/>
              <w:jc w:val="left"/>
              <w:rPr>
                <w:rFonts w:hint="eastAsia" w:ascii="宋体" w:hAnsi="宋体" w:cs="宋体"/>
                <w:kern w:val="0"/>
                <w:sz w:val="20"/>
                <w:szCs w:val="20"/>
              </w:rPr>
            </w:pPr>
            <w:r>
              <w:rPr>
                <w:rFonts w:hint="eastAsia" w:ascii="宋体" w:hAnsi="宋体" w:cs="宋体"/>
                <w:kern w:val="0"/>
                <w:sz w:val="20"/>
                <w:szCs w:val="20"/>
              </w:rPr>
              <w:t>≥90%</w:t>
            </w:r>
          </w:p>
        </w:tc>
        <w:tc>
          <w:tcPr>
            <w:tcW w:w="1442" w:type="dxa"/>
            <w:tcBorders>
              <w:top w:val="nil"/>
              <w:left w:val="nil"/>
              <w:bottom w:val="single" w:color="auto" w:sz="4" w:space="0"/>
              <w:right w:val="single" w:color="auto" w:sz="4" w:space="0"/>
            </w:tcBorders>
            <w:shd w:val="clear" w:color="auto" w:fill="auto"/>
            <w:noWrap/>
            <w:vAlign w:val="center"/>
          </w:tcPr>
          <w:p w14:paraId="109EF7CA">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14:paraId="3D94BE6D">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709" w:type="dxa"/>
            <w:tcBorders>
              <w:top w:val="nil"/>
              <w:left w:val="nil"/>
              <w:bottom w:val="single" w:color="auto" w:sz="4" w:space="0"/>
              <w:right w:val="single" w:color="auto" w:sz="4" w:space="0"/>
            </w:tcBorders>
            <w:shd w:val="clear" w:color="auto" w:fill="auto"/>
            <w:noWrap/>
            <w:vAlign w:val="center"/>
          </w:tcPr>
          <w:p w14:paraId="0E5A1E5D">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759" w:type="dxa"/>
            <w:tcBorders>
              <w:top w:val="nil"/>
              <w:left w:val="nil"/>
              <w:bottom w:val="single" w:color="auto" w:sz="4" w:space="0"/>
              <w:right w:val="single" w:color="auto" w:sz="4" w:space="0"/>
            </w:tcBorders>
            <w:shd w:val="clear" w:color="auto" w:fill="auto"/>
            <w:noWrap/>
            <w:vAlign w:val="center"/>
          </w:tcPr>
          <w:p w14:paraId="324B8331">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2986C720">
        <w:tblPrEx>
          <w:tblCellMar>
            <w:top w:w="0" w:type="dxa"/>
            <w:left w:w="108" w:type="dxa"/>
            <w:bottom w:w="0" w:type="dxa"/>
            <w:right w:w="108" w:type="dxa"/>
          </w:tblCellMar>
        </w:tblPrEx>
        <w:trPr>
          <w:trHeight w:val="741" w:hRule="atLeast"/>
          <w:jc w:val="center"/>
        </w:trPr>
        <w:tc>
          <w:tcPr>
            <w:tcW w:w="878" w:type="dxa"/>
            <w:vMerge w:val="continue"/>
            <w:tcBorders>
              <w:top w:val="single" w:color="auto" w:sz="4" w:space="0"/>
              <w:left w:val="single" w:color="auto" w:sz="4" w:space="0"/>
              <w:bottom w:val="single" w:color="auto" w:sz="4" w:space="0"/>
              <w:right w:val="single" w:color="auto" w:sz="4" w:space="0"/>
            </w:tcBorders>
            <w:vAlign w:val="center"/>
          </w:tcPr>
          <w:p w14:paraId="6B2F4855">
            <w:pPr>
              <w:widowControl/>
              <w:jc w:val="left"/>
              <w:rPr>
                <w:rFonts w:hint="eastAsia" w:ascii="宋体" w:hAnsi="宋体" w:cs="宋体"/>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0FF6E17D">
            <w:pPr>
              <w:widowControl/>
              <w:jc w:val="left"/>
              <w:rPr>
                <w:rFonts w:hint="eastAsia" w:ascii="宋体" w:hAnsi="宋体" w:cs="宋体"/>
                <w:kern w:val="0"/>
                <w:sz w:val="20"/>
                <w:szCs w:val="20"/>
              </w:rPr>
            </w:pPr>
          </w:p>
        </w:tc>
        <w:tc>
          <w:tcPr>
            <w:tcW w:w="1675" w:type="dxa"/>
            <w:tcBorders>
              <w:top w:val="nil"/>
              <w:left w:val="nil"/>
              <w:bottom w:val="single" w:color="auto" w:sz="4" w:space="0"/>
              <w:right w:val="single" w:color="auto" w:sz="4" w:space="0"/>
            </w:tcBorders>
            <w:shd w:val="clear" w:color="auto" w:fill="auto"/>
            <w:noWrap/>
            <w:vAlign w:val="center"/>
          </w:tcPr>
          <w:p w14:paraId="0D352E96">
            <w:pPr>
              <w:widowControl/>
              <w:jc w:val="left"/>
              <w:rPr>
                <w:rFonts w:hint="eastAsia" w:ascii="宋体" w:hAnsi="宋体" w:cs="宋体"/>
                <w:kern w:val="0"/>
                <w:sz w:val="20"/>
                <w:szCs w:val="20"/>
              </w:rPr>
            </w:pPr>
            <w:r>
              <w:rPr>
                <w:rFonts w:hint="eastAsia" w:ascii="宋体" w:hAnsi="宋体" w:cs="宋体"/>
                <w:kern w:val="0"/>
                <w:sz w:val="20"/>
                <w:szCs w:val="20"/>
              </w:rPr>
              <w:t>环境应急演练数量</w:t>
            </w:r>
          </w:p>
        </w:tc>
        <w:tc>
          <w:tcPr>
            <w:tcW w:w="1389" w:type="dxa"/>
            <w:tcBorders>
              <w:top w:val="nil"/>
              <w:left w:val="nil"/>
              <w:bottom w:val="single" w:color="auto" w:sz="4" w:space="0"/>
              <w:right w:val="single" w:color="auto" w:sz="4" w:space="0"/>
            </w:tcBorders>
            <w:shd w:val="clear" w:color="auto" w:fill="auto"/>
            <w:noWrap/>
            <w:vAlign w:val="center"/>
          </w:tcPr>
          <w:p w14:paraId="4C48F07B">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1442" w:type="dxa"/>
            <w:tcBorders>
              <w:top w:val="nil"/>
              <w:left w:val="nil"/>
              <w:bottom w:val="single" w:color="auto" w:sz="4" w:space="0"/>
              <w:right w:val="single" w:color="auto" w:sz="4" w:space="0"/>
            </w:tcBorders>
            <w:shd w:val="clear" w:color="auto" w:fill="auto"/>
            <w:noWrap/>
            <w:vAlign w:val="center"/>
          </w:tcPr>
          <w:p w14:paraId="253E7D2C">
            <w:pPr>
              <w:widowControl/>
              <w:jc w:val="left"/>
              <w:rPr>
                <w:rFonts w:hint="eastAsia" w:ascii="宋体" w:hAnsi="宋体" w:cs="宋体"/>
                <w:kern w:val="0"/>
                <w:sz w:val="20"/>
                <w:szCs w:val="20"/>
              </w:rPr>
            </w:pPr>
            <w:r>
              <w:rPr>
                <w:rFonts w:hint="eastAsia" w:ascii="宋体" w:hAnsi="宋体" w:cs="宋体"/>
                <w:kern w:val="0"/>
                <w:sz w:val="20"/>
                <w:szCs w:val="20"/>
              </w:rPr>
              <w:t>昌吉回族自治州生态环境局木垒县分局2023年工作计划</w:t>
            </w:r>
          </w:p>
        </w:tc>
        <w:tc>
          <w:tcPr>
            <w:tcW w:w="854" w:type="dxa"/>
            <w:tcBorders>
              <w:top w:val="nil"/>
              <w:left w:val="nil"/>
              <w:bottom w:val="single" w:color="auto" w:sz="4" w:space="0"/>
              <w:right w:val="single" w:color="auto" w:sz="4" w:space="0"/>
            </w:tcBorders>
            <w:shd w:val="clear" w:color="auto" w:fill="auto"/>
            <w:noWrap/>
            <w:vAlign w:val="center"/>
          </w:tcPr>
          <w:p w14:paraId="6954B655">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709" w:type="dxa"/>
            <w:tcBorders>
              <w:top w:val="nil"/>
              <w:left w:val="nil"/>
              <w:bottom w:val="single" w:color="auto" w:sz="4" w:space="0"/>
              <w:right w:val="single" w:color="auto" w:sz="4" w:space="0"/>
            </w:tcBorders>
            <w:shd w:val="clear" w:color="auto" w:fill="auto"/>
            <w:noWrap/>
            <w:vAlign w:val="center"/>
          </w:tcPr>
          <w:p w14:paraId="71E3C14E">
            <w:pPr>
              <w:widowControl/>
              <w:jc w:val="left"/>
              <w:rPr>
                <w:rFonts w:hint="eastAsia" w:ascii="宋体" w:hAnsi="宋体" w:cs="宋体"/>
                <w:kern w:val="0"/>
                <w:sz w:val="20"/>
                <w:szCs w:val="20"/>
              </w:rPr>
            </w:pPr>
            <w:r>
              <w:rPr>
                <w:rFonts w:hint="eastAsia" w:ascii="宋体" w:hAnsi="宋体" w:cs="宋体"/>
                <w:kern w:val="0"/>
                <w:sz w:val="20"/>
                <w:szCs w:val="20"/>
              </w:rPr>
              <w:t>1次</w:t>
            </w:r>
          </w:p>
        </w:tc>
        <w:tc>
          <w:tcPr>
            <w:tcW w:w="759" w:type="dxa"/>
            <w:tcBorders>
              <w:top w:val="nil"/>
              <w:left w:val="nil"/>
              <w:bottom w:val="single" w:color="auto" w:sz="4" w:space="0"/>
              <w:right w:val="single" w:color="auto" w:sz="4" w:space="0"/>
            </w:tcBorders>
            <w:shd w:val="clear" w:color="auto" w:fill="auto"/>
            <w:noWrap/>
            <w:vAlign w:val="center"/>
          </w:tcPr>
          <w:p w14:paraId="497BB2CA">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3391BCE2">
      <w:pPr>
        <w:ind w:firstLine="640" w:firstLineChars="200"/>
        <w:jc w:val="left"/>
        <w:rPr>
          <w:rFonts w:hint="eastAsia" w:ascii="黑体" w:hAnsi="黑体" w:eastAsia="黑体" w:cs="宋体"/>
          <w:bCs/>
          <w:kern w:val="0"/>
          <w:sz w:val="32"/>
          <w:szCs w:val="32"/>
        </w:rPr>
      </w:pPr>
    </w:p>
    <w:p w14:paraId="7907F015">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092487F">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6F3F525">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810717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9DCF68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3CEBA5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372A293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77C21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01C76B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F035C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EF86ED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BC197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2CE3E88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E5CCE2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095E583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36BBF0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78B4E99">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6531721">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CAB14C6">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1A48A3DC">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6FC2DDA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21BF1CE0">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3BC38DEC">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8287AB0">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23F7979E">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6C804E87">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115191D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154EE9A">
      <w:pPr>
        <w:ind w:firstLine="640" w:firstLineChars="200"/>
        <w:rPr>
          <w:rFonts w:ascii="仿宋_GB2312" w:eastAsia="仿宋_GB2312"/>
          <w:sz w:val="32"/>
          <w:szCs w:val="32"/>
        </w:rPr>
      </w:pPr>
    </w:p>
    <w:p w14:paraId="32524956">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0061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51788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F51788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252391"/>
    <w:rsid w:val="000561AF"/>
    <w:rsid w:val="000A620E"/>
    <w:rsid w:val="000C4B51"/>
    <w:rsid w:val="001C5FF4"/>
    <w:rsid w:val="00213C59"/>
    <w:rsid w:val="00231588"/>
    <w:rsid w:val="00252391"/>
    <w:rsid w:val="002A4106"/>
    <w:rsid w:val="003210CE"/>
    <w:rsid w:val="0054531C"/>
    <w:rsid w:val="00581E1F"/>
    <w:rsid w:val="00646465"/>
    <w:rsid w:val="0076066F"/>
    <w:rsid w:val="00830E5E"/>
    <w:rsid w:val="008D62E4"/>
    <w:rsid w:val="009034A6"/>
    <w:rsid w:val="009C6532"/>
    <w:rsid w:val="00AE63DB"/>
    <w:rsid w:val="00B70D59"/>
    <w:rsid w:val="00C221DF"/>
    <w:rsid w:val="00C7534F"/>
    <w:rsid w:val="00D41CA9"/>
    <w:rsid w:val="00D62590"/>
    <w:rsid w:val="00E00149"/>
    <w:rsid w:val="00E00B71"/>
    <w:rsid w:val="00E02D29"/>
    <w:rsid w:val="00ED686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607214"/>
    <w:rsid w:val="0D7A4A46"/>
    <w:rsid w:val="0E640559"/>
    <w:rsid w:val="0F1113DA"/>
    <w:rsid w:val="0F78534A"/>
    <w:rsid w:val="0F89358A"/>
    <w:rsid w:val="0F8C6D51"/>
    <w:rsid w:val="0F9C6EF5"/>
    <w:rsid w:val="105B0B5E"/>
    <w:rsid w:val="10D2782D"/>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21695"/>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E5277F"/>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6625</Words>
  <Characters>7501</Characters>
  <Lines>61</Lines>
  <Paragraphs>17</Paragraphs>
  <TotalTime>10</TotalTime>
  <ScaleCrop>false</ScaleCrop>
  <LinksUpToDate>false</LinksUpToDate>
  <CharactersWithSpaces>7543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2024-12-02T07:58:26Z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